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tblCellMar>
          <w:left w:w="0" w:type="dxa"/>
          <w:right w:w="0" w:type="dxa"/>
        </w:tblCellMar>
        <w:tblLook w:val="04A0" w:firstRow="1" w:lastRow="0" w:firstColumn="1" w:lastColumn="0" w:noHBand="0" w:noVBand="1"/>
      </w:tblPr>
      <w:tblGrid>
        <w:gridCol w:w="9360"/>
      </w:tblGrid>
      <w:tr w:rsidR="005317F4" w:rsidRPr="005317F4">
        <w:trPr>
          <w:tblCellSpacing w:w="0" w:type="dxa"/>
        </w:trPr>
        <w:tc>
          <w:tcPr>
            <w:tcW w:w="0" w:type="auto"/>
            <w:hideMark/>
          </w:tcPr>
          <w:p w:rsidR="005317F4" w:rsidRPr="005317F4" w:rsidRDefault="005317F4" w:rsidP="005317F4">
            <w:pPr>
              <w:spacing w:before="100" w:beforeAutospacing="1" w:after="100" w:afterAutospacing="1" w:line="240" w:lineRule="auto"/>
              <w:outlineLvl w:val="1"/>
              <w:rPr>
                <w:rFonts w:ascii="Arial" w:eastAsia="Times New Roman" w:hAnsi="Arial" w:cs="Arial"/>
                <w:b/>
                <w:bCs/>
                <w:color w:val="000000"/>
                <w:sz w:val="29"/>
                <w:szCs w:val="29"/>
              </w:rPr>
            </w:pPr>
            <w:r w:rsidRPr="005317F4">
              <w:rPr>
                <w:rFonts w:ascii="Arial" w:eastAsia="Times New Roman" w:hAnsi="Arial" w:cs="Arial"/>
                <w:b/>
                <w:bCs/>
                <w:color w:val="000080"/>
                <w:sz w:val="29"/>
                <w:szCs w:val="29"/>
              </w:rPr>
              <w:t>ASSOCIATED EQUIPMENT</w:t>
            </w:r>
          </w:p>
        </w:tc>
      </w:tr>
      <w:tr w:rsidR="005317F4" w:rsidRPr="005317F4">
        <w:trPr>
          <w:tblCellSpacing w:w="0" w:type="dxa"/>
        </w:trPr>
        <w:tc>
          <w:tcPr>
            <w:tcW w:w="0" w:type="auto"/>
            <w:vAlign w:val="center"/>
            <w:hideMark/>
          </w:tcPr>
          <w:p w:rsidR="005317F4" w:rsidRPr="005317F4" w:rsidRDefault="005317F4" w:rsidP="005317F4">
            <w:pPr>
              <w:spacing w:after="0" w:line="240" w:lineRule="auto"/>
              <w:rPr>
                <w:rFonts w:ascii="Arial" w:eastAsia="Times New Roman" w:hAnsi="Arial" w:cs="Arial"/>
                <w:color w:val="000000"/>
                <w:sz w:val="21"/>
                <w:szCs w:val="21"/>
              </w:rPr>
            </w:pPr>
            <w:r w:rsidRPr="005317F4">
              <w:rPr>
                <w:rFonts w:ascii="Arial" w:eastAsia="Times New Roman" w:hAnsi="Arial" w:cs="Arial"/>
                <w:i/>
                <w:iCs/>
                <w:color w:val="000000"/>
                <w:sz w:val="20"/>
                <w:szCs w:val="15"/>
              </w:rPr>
              <w:t>The following pertains to Manufacturers and Distributors of Associated Equipment.</w:t>
            </w:r>
            <w:r w:rsidR="000D63E4">
              <w:rPr>
                <w:rFonts w:ascii="Arial" w:eastAsia="Times New Roman" w:hAnsi="Arial" w:cs="Arial"/>
                <w:i/>
                <w:iCs/>
                <w:color w:val="000000"/>
                <w:sz w:val="20"/>
                <w:szCs w:val="15"/>
              </w:rPr>
              <w:t xml:space="preserve"> (Last revised </w:t>
            </w:r>
            <w:r w:rsidR="004F4CBF">
              <w:rPr>
                <w:rFonts w:ascii="Arial" w:eastAsia="Times New Roman" w:hAnsi="Arial" w:cs="Arial"/>
                <w:i/>
                <w:iCs/>
                <w:color w:val="000000"/>
                <w:sz w:val="20"/>
                <w:szCs w:val="15"/>
              </w:rPr>
              <w:t xml:space="preserve">January </w:t>
            </w:r>
            <w:r w:rsidR="008F203D">
              <w:rPr>
                <w:rFonts w:ascii="Arial" w:eastAsia="Times New Roman" w:hAnsi="Arial" w:cs="Arial"/>
                <w:i/>
                <w:iCs/>
                <w:color w:val="000000"/>
                <w:sz w:val="20"/>
                <w:szCs w:val="15"/>
              </w:rPr>
              <w:t>2014</w:t>
            </w:r>
            <w:r w:rsidR="000D63E4">
              <w:rPr>
                <w:rFonts w:ascii="Arial" w:eastAsia="Times New Roman" w:hAnsi="Arial" w:cs="Arial"/>
                <w:i/>
                <w:iCs/>
                <w:color w:val="000000"/>
                <w:sz w:val="20"/>
                <w:szCs w:val="15"/>
              </w:rPr>
              <w:t>.</w:t>
            </w:r>
            <w:r w:rsidR="000D63E4">
              <w:rPr>
                <w:rFonts w:ascii="Arial" w:eastAsia="Times New Roman" w:hAnsi="Arial" w:cs="Arial"/>
                <w:color w:val="000000"/>
                <w:sz w:val="21"/>
                <w:szCs w:val="21"/>
              </w:rPr>
              <w:t>)</w:t>
            </w:r>
          </w:p>
          <w:p w:rsidR="00FF0DBC" w:rsidRPr="00AE05CD" w:rsidRDefault="005317F4" w:rsidP="00FF0DBC">
            <w:pPr>
              <w:spacing w:before="100" w:beforeAutospacing="1" w:after="100" w:afterAutospacing="1" w:line="240" w:lineRule="auto"/>
              <w:rPr>
                <w:rFonts w:ascii="Arial" w:eastAsia="Times New Roman" w:hAnsi="Arial" w:cs="Arial"/>
                <w:color w:val="000000"/>
                <w:sz w:val="20"/>
                <w:szCs w:val="15"/>
              </w:rPr>
            </w:pPr>
            <w:r w:rsidRPr="005317F4">
              <w:rPr>
                <w:rFonts w:ascii="Arial" w:eastAsia="Times New Roman" w:hAnsi="Arial" w:cs="Arial"/>
                <w:color w:val="000000"/>
                <w:sz w:val="20"/>
                <w:szCs w:val="15"/>
              </w:rPr>
              <w:t>The MGCB has identified and categorized specific items of Associated Equipment as defined generally by </w:t>
            </w:r>
            <w:r w:rsidR="00935AFF" w:rsidRPr="00935AFF">
              <w:rPr>
                <w:rFonts w:ascii="Arial" w:eastAsia="Times New Roman" w:hAnsi="Arial" w:cs="Arial"/>
                <w:color w:val="000000"/>
                <w:sz w:val="20"/>
                <w:szCs w:val="15"/>
              </w:rPr>
              <w:t>Rule 432.1101(c)</w:t>
            </w:r>
            <w:r w:rsidR="00935AFF">
              <w:rPr>
                <w:rFonts w:ascii="Arial" w:eastAsia="Times New Roman" w:hAnsi="Arial" w:cs="Arial"/>
                <w:color w:val="000000"/>
                <w:sz w:val="20"/>
                <w:szCs w:val="15"/>
              </w:rPr>
              <w:t xml:space="preserve"> and </w:t>
            </w:r>
            <w:r w:rsidR="001B3561">
              <w:rPr>
                <w:rFonts w:ascii="Arial" w:eastAsia="Times New Roman" w:hAnsi="Arial" w:cs="Arial"/>
                <w:color w:val="000000"/>
                <w:sz w:val="20"/>
                <w:szCs w:val="15"/>
              </w:rPr>
              <w:t>Rule 432.1103(b)</w:t>
            </w:r>
            <w:r w:rsidR="0023452A">
              <w:rPr>
                <w:rFonts w:ascii="Arial" w:eastAsia="Times New Roman" w:hAnsi="Arial" w:cs="Arial"/>
                <w:color w:val="000000"/>
                <w:sz w:val="20"/>
                <w:szCs w:val="15"/>
              </w:rPr>
              <w:t>.</w:t>
            </w:r>
            <w:r w:rsidRPr="005317F4">
              <w:rPr>
                <w:rFonts w:ascii="Arial" w:eastAsia="Times New Roman" w:hAnsi="Arial" w:cs="Arial"/>
                <w:color w:val="000000"/>
                <w:sz w:val="20"/>
                <w:szCs w:val="15"/>
              </w:rPr>
              <w:t xml:space="preserve"> These devices are represented below in the </w:t>
            </w:r>
            <w:r w:rsidRPr="005317F4">
              <w:rPr>
                <w:rFonts w:ascii="Arial" w:eastAsia="Times New Roman" w:hAnsi="Arial" w:cs="Arial"/>
                <w:i/>
                <w:iCs/>
                <w:color w:val="000000"/>
                <w:sz w:val="20"/>
                <w:szCs w:val="15"/>
              </w:rPr>
              <w:t>Associated Equipment Matrix.</w:t>
            </w:r>
            <w:r w:rsidRPr="005317F4">
              <w:rPr>
                <w:rFonts w:ascii="Arial" w:eastAsia="Times New Roman" w:hAnsi="Arial" w:cs="Arial"/>
                <w:color w:val="000000"/>
                <w:sz w:val="20"/>
                <w:szCs w:val="15"/>
              </w:rPr>
              <w:t xml:space="preserve"> </w:t>
            </w:r>
            <w:r w:rsidR="00FF0DBC">
              <w:rPr>
                <w:rFonts w:ascii="Arial" w:eastAsia="Times New Roman" w:hAnsi="Arial" w:cs="Arial"/>
                <w:color w:val="000000"/>
                <w:sz w:val="20"/>
                <w:szCs w:val="15"/>
              </w:rPr>
              <w:t>As denoted in the reference material below, c</w:t>
            </w:r>
            <w:r w:rsidRPr="00AE05CD">
              <w:rPr>
                <w:rFonts w:ascii="Arial" w:eastAsia="Times New Roman" w:hAnsi="Arial" w:cs="Arial"/>
                <w:color w:val="000000"/>
                <w:sz w:val="20"/>
                <w:szCs w:val="15"/>
              </w:rPr>
              <w:t xml:space="preserve">ertain devices or systems require </w:t>
            </w:r>
            <w:r w:rsidR="004F324A" w:rsidRPr="00AE05CD">
              <w:rPr>
                <w:rFonts w:ascii="Arial" w:eastAsia="Times New Roman" w:hAnsi="Arial" w:cs="Arial"/>
                <w:color w:val="000000"/>
                <w:sz w:val="20"/>
                <w:szCs w:val="15"/>
              </w:rPr>
              <w:t xml:space="preserve">a </w:t>
            </w:r>
            <w:r w:rsidRPr="00AE05CD">
              <w:rPr>
                <w:rFonts w:ascii="Arial" w:eastAsia="Times New Roman" w:hAnsi="Arial" w:cs="Arial"/>
                <w:color w:val="000000"/>
                <w:sz w:val="20"/>
                <w:szCs w:val="15"/>
              </w:rPr>
              <w:t xml:space="preserve">MGCB </w:t>
            </w:r>
            <w:r w:rsidR="00107BB5" w:rsidRPr="00AE05CD">
              <w:rPr>
                <w:rFonts w:ascii="Arial" w:eastAsia="Times New Roman" w:hAnsi="Arial" w:cs="Arial"/>
                <w:color w:val="000000"/>
                <w:sz w:val="20"/>
                <w:szCs w:val="15"/>
              </w:rPr>
              <w:t>G</w:t>
            </w:r>
            <w:r w:rsidRPr="00AE05CD">
              <w:rPr>
                <w:rFonts w:ascii="Arial" w:eastAsia="Times New Roman" w:hAnsi="Arial" w:cs="Arial"/>
                <w:color w:val="000000"/>
                <w:sz w:val="20"/>
                <w:szCs w:val="15"/>
              </w:rPr>
              <w:t>aming-</w:t>
            </w:r>
            <w:r w:rsidR="00107BB5" w:rsidRPr="00AE05CD">
              <w:rPr>
                <w:rFonts w:ascii="Arial" w:eastAsia="Times New Roman" w:hAnsi="Arial" w:cs="Arial"/>
                <w:color w:val="000000"/>
                <w:sz w:val="20"/>
                <w:szCs w:val="15"/>
              </w:rPr>
              <w:t>R</w:t>
            </w:r>
            <w:r w:rsidRPr="00AE05CD">
              <w:rPr>
                <w:rFonts w:ascii="Arial" w:eastAsia="Times New Roman" w:hAnsi="Arial" w:cs="Arial"/>
                <w:color w:val="000000"/>
                <w:sz w:val="20"/>
                <w:szCs w:val="15"/>
              </w:rPr>
              <w:t xml:space="preserve">elated Supplier License </w:t>
            </w:r>
            <w:r w:rsidR="00935AFF" w:rsidRPr="00AE05CD">
              <w:rPr>
                <w:rFonts w:ascii="Arial" w:eastAsia="Times New Roman" w:hAnsi="Arial" w:cs="Arial"/>
                <w:color w:val="000000"/>
                <w:sz w:val="20"/>
                <w:szCs w:val="15"/>
              </w:rPr>
              <w:t xml:space="preserve">as </w:t>
            </w:r>
            <w:r w:rsidR="00523EF4">
              <w:rPr>
                <w:rFonts w:ascii="Arial" w:eastAsia="Times New Roman" w:hAnsi="Arial" w:cs="Arial"/>
                <w:color w:val="000000"/>
                <w:sz w:val="20"/>
                <w:szCs w:val="15"/>
              </w:rPr>
              <w:t xml:space="preserve">set </w:t>
            </w:r>
            <w:r w:rsidR="00935AFF" w:rsidRPr="00AE05CD">
              <w:rPr>
                <w:rFonts w:ascii="Arial" w:eastAsia="Times New Roman" w:hAnsi="Arial" w:cs="Arial"/>
                <w:color w:val="000000"/>
                <w:sz w:val="20"/>
                <w:szCs w:val="15"/>
              </w:rPr>
              <w:t xml:space="preserve">forth in </w:t>
            </w:r>
            <w:r w:rsidR="00523EF4">
              <w:rPr>
                <w:rFonts w:ascii="Arial" w:eastAsia="Times New Roman" w:hAnsi="Arial" w:cs="Arial"/>
                <w:color w:val="000000"/>
                <w:sz w:val="20"/>
                <w:szCs w:val="15"/>
              </w:rPr>
              <w:t xml:space="preserve">Rule </w:t>
            </w:r>
            <w:r w:rsidR="00935AFF" w:rsidRPr="00AE05CD">
              <w:rPr>
                <w:rFonts w:ascii="Arial" w:eastAsia="Times New Roman" w:hAnsi="Arial" w:cs="Arial"/>
                <w:color w:val="000000"/>
                <w:sz w:val="20"/>
                <w:szCs w:val="15"/>
              </w:rPr>
              <w:t>432.1321</w:t>
            </w:r>
            <w:r w:rsidR="00FF0DBC" w:rsidRPr="00AE05CD">
              <w:rPr>
                <w:rFonts w:ascii="Arial" w:eastAsia="Times New Roman" w:hAnsi="Arial" w:cs="Arial"/>
                <w:color w:val="000000"/>
                <w:sz w:val="20"/>
                <w:szCs w:val="15"/>
              </w:rPr>
              <w:t xml:space="preserve"> prior to shipment to the casino licensee</w:t>
            </w:r>
            <w:r w:rsidR="00FF0DBC">
              <w:rPr>
                <w:rFonts w:ascii="Arial" w:eastAsia="Times New Roman" w:hAnsi="Arial" w:cs="Arial"/>
                <w:color w:val="000000"/>
                <w:sz w:val="20"/>
                <w:szCs w:val="15"/>
              </w:rPr>
              <w:t>. Additionally, c</w:t>
            </w:r>
            <w:r w:rsidR="00FF0DBC" w:rsidRPr="00AE05CD">
              <w:rPr>
                <w:rFonts w:ascii="Arial" w:eastAsia="Times New Roman" w:hAnsi="Arial" w:cs="Arial"/>
                <w:color w:val="000000"/>
                <w:sz w:val="20"/>
                <w:szCs w:val="15"/>
              </w:rPr>
              <w:t xml:space="preserve">ertain </w:t>
            </w:r>
            <w:r w:rsidR="0023452A">
              <w:rPr>
                <w:rFonts w:ascii="Arial" w:eastAsia="Times New Roman" w:hAnsi="Arial" w:cs="Arial"/>
                <w:color w:val="000000"/>
                <w:sz w:val="20"/>
                <w:szCs w:val="15"/>
              </w:rPr>
              <w:t xml:space="preserve">products, </w:t>
            </w:r>
            <w:r w:rsidR="00FF0DBC" w:rsidRPr="00AE05CD">
              <w:rPr>
                <w:rFonts w:ascii="Arial" w:eastAsia="Times New Roman" w:hAnsi="Arial" w:cs="Arial"/>
                <w:color w:val="000000"/>
                <w:sz w:val="20"/>
                <w:szCs w:val="15"/>
              </w:rPr>
              <w:t>devices or systems require</w:t>
            </w:r>
            <w:r w:rsidRPr="00AE05CD">
              <w:rPr>
                <w:rFonts w:ascii="Arial" w:eastAsia="Times New Roman" w:hAnsi="Arial" w:cs="Arial"/>
                <w:color w:val="000000"/>
                <w:sz w:val="20"/>
                <w:szCs w:val="15"/>
              </w:rPr>
              <w:t xml:space="preserve"> MGCB Gaming Lab </w:t>
            </w:r>
            <w:r w:rsidR="00E820F6" w:rsidRPr="00AE05CD">
              <w:rPr>
                <w:rFonts w:ascii="Arial" w:eastAsia="Times New Roman" w:hAnsi="Arial" w:cs="Arial"/>
                <w:color w:val="000000"/>
                <w:sz w:val="20"/>
                <w:szCs w:val="15"/>
              </w:rPr>
              <w:t>approval</w:t>
            </w:r>
            <w:r w:rsidR="001B3561" w:rsidRPr="00AE05CD">
              <w:rPr>
                <w:rFonts w:ascii="Arial" w:eastAsia="Times New Roman" w:hAnsi="Arial" w:cs="Arial"/>
                <w:color w:val="000000"/>
                <w:sz w:val="20"/>
                <w:szCs w:val="15"/>
              </w:rPr>
              <w:t xml:space="preserve">, in writing, </w:t>
            </w:r>
            <w:r w:rsidRPr="00AE05CD">
              <w:rPr>
                <w:rFonts w:ascii="Arial" w:eastAsia="Times New Roman" w:hAnsi="Arial" w:cs="Arial"/>
                <w:color w:val="000000"/>
                <w:sz w:val="20"/>
                <w:szCs w:val="15"/>
              </w:rPr>
              <w:t>prior to shipment to</w:t>
            </w:r>
            <w:r w:rsidR="00FF0DBC">
              <w:rPr>
                <w:rFonts w:ascii="Arial" w:eastAsia="Times New Roman" w:hAnsi="Arial" w:cs="Arial"/>
                <w:color w:val="000000"/>
                <w:sz w:val="20"/>
                <w:szCs w:val="15"/>
              </w:rPr>
              <w:t>, and use by,</w:t>
            </w:r>
            <w:r w:rsidRPr="00AE05CD">
              <w:rPr>
                <w:rFonts w:ascii="Arial" w:eastAsia="Times New Roman" w:hAnsi="Arial" w:cs="Arial"/>
                <w:color w:val="000000"/>
                <w:sz w:val="20"/>
                <w:szCs w:val="15"/>
              </w:rPr>
              <w:t xml:space="preserve"> the casino licensee. </w:t>
            </w:r>
          </w:p>
          <w:p w:rsidR="00DD557E" w:rsidRPr="00AE05CD" w:rsidRDefault="005317F4" w:rsidP="00FF0DBC">
            <w:pPr>
              <w:spacing w:before="100" w:beforeAutospacing="1" w:after="100" w:afterAutospacing="1" w:line="240" w:lineRule="auto"/>
              <w:rPr>
                <w:rFonts w:ascii="Arial" w:eastAsia="Times New Roman" w:hAnsi="Arial" w:cs="Arial"/>
                <w:color w:val="000000"/>
                <w:sz w:val="20"/>
                <w:szCs w:val="15"/>
              </w:rPr>
            </w:pPr>
            <w:r w:rsidRPr="00AE05CD">
              <w:rPr>
                <w:rFonts w:ascii="Arial" w:eastAsia="Times New Roman" w:hAnsi="Arial" w:cs="Arial"/>
                <w:color w:val="000000"/>
                <w:sz w:val="20"/>
                <w:szCs w:val="15"/>
              </w:rPr>
              <w:t>The product evaluation process is set forth in </w:t>
            </w:r>
            <w:hyperlink r:id="rId8" w:tgtFrame="_blank" w:history="1">
              <w:r w:rsidRPr="00AE05CD">
                <w:rPr>
                  <w:rFonts w:ascii="Arial" w:eastAsia="Times New Roman" w:hAnsi="Arial" w:cs="Arial"/>
                  <w:color w:val="000000"/>
                  <w:sz w:val="20"/>
                  <w:szCs w:val="15"/>
                </w:rPr>
                <w:t>Rule 432.1842</w:t>
              </w:r>
            </w:hyperlink>
            <w:r w:rsidRPr="00AE05CD">
              <w:rPr>
                <w:rFonts w:ascii="Arial" w:eastAsia="Times New Roman" w:hAnsi="Arial" w:cs="Arial"/>
                <w:color w:val="000000"/>
                <w:sz w:val="20"/>
                <w:szCs w:val="15"/>
              </w:rPr>
              <w:t>.</w:t>
            </w:r>
            <w:r w:rsidR="003A4916" w:rsidRPr="00AE05CD">
              <w:rPr>
                <w:rFonts w:ascii="Arial" w:eastAsia="Times New Roman" w:hAnsi="Arial" w:cs="Arial"/>
                <w:color w:val="000000"/>
                <w:sz w:val="20"/>
                <w:szCs w:val="15"/>
              </w:rPr>
              <w:t xml:space="preserve"> The appropriate Gaming </w:t>
            </w:r>
            <w:r w:rsidRPr="00AE05CD">
              <w:rPr>
                <w:rFonts w:ascii="Arial" w:eastAsia="Times New Roman" w:hAnsi="Arial" w:cs="Arial"/>
                <w:color w:val="000000"/>
                <w:sz w:val="20"/>
                <w:szCs w:val="15"/>
              </w:rPr>
              <w:t xml:space="preserve">Laboratory </w:t>
            </w:r>
            <w:r w:rsidR="001B3561" w:rsidRPr="00AE05CD">
              <w:rPr>
                <w:rFonts w:ascii="Arial" w:eastAsia="Times New Roman" w:hAnsi="Arial" w:cs="Arial"/>
                <w:color w:val="000000"/>
                <w:sz w:val="20"/>
                <w:szCs w:val="15"/>
              </w:rPr>
              <w:t>s</w:t>
            </w:r>
            <w:r w:rsidRPr="00AE05CD">
              <w:rPr>
                <w:rFonts w:ascii="Arial" w:eastAsia="Times New Roman" w:hAnsi="Arial" w:cs="Arial"/>
                <w:color w:val="000000"/>
                <w:sz w:val="20"/>
                <w:szCs w:val="15"/>
              </w:rPr>
              <w:t>ubmission</w:t>
            </w:r>
            <w:r w:rsidR="003A4916" w:rsidRPr="00AE05CD">
              <w:rPr>
                <w:rFonts w:ascii="Arial" w:eastAsia="Times New Roman" w:hAnsi="Arial" w:cs="Arial"/>
                <w:color w:val="000000"/>
                <w:sz w:val="20"/>
                <w:szCs w:val="15"/>
              </w:rPr>
              <w:t xml:space="preserve"> form</w:t>
            </w:r>
            <w:r w:rsidR="00067202" w:rsidRPr="00AE05CD">
              <w:rPr>
                <w:rFonts w:ascii="Arial" w:eastAsia="Times New Roman" w:hAnsi="Arial" w:cs="Arial"/>
                <w:color w:val="000000"/>
                <w:sz w:val="20"/>
                <w:szCs w:val="15"/>
              </w:rPr>
              <w:t>(s)</w:t>
            </w:r>
            <w:r w:rsidR="001B3561" w:rsidRPr="00AE05CD">
              <w:rPr>
                <w:rFonts w:ascii="Arial" w:eastAsia="Times New Roman" w:hAnsi="Arial" w:cs="Arial"/>
                <w:color w:val="000000"/>
                <w:sz w:val="20"/>
                <w:szCs w:val="15"/>
              </w:rPr>
              <w:t>, available on the MGCB website,</w:t>
            </w:r>
            <w:r w:rsidRPr="00AE05CD">
              <w:rPr>
                <w:rFonts w:ascii="Arial" w:eastAsia="Times New Roman" w:hAnsi="Arial" w:cs="Arial"/>
                <w:color w:val="000000"/>
                <w:sz w:val="20"/>
                <w:szCs w:val="15"/>
              </w:rPr>
              <w:t xml:space="preserve"> must be filed with the MGCB to initiate the product evaluation process.</w:t>
            </w:r>
            <w:r w:rsidR="00107E60" w:rsidRPr="00AE05CD">
              <w:rPr>
                <w:rFonts w:ascii="Arial" w:eastAsia="Times New Roman" w:hAnsi="Arial" w:cs="Arial"/>
                <w:color w:val="000000"/>
                <w:sz w:val="20"/>
                <w:szCs w:val="15"/>
              </w:rPr>
              <w:t xml:space="preserve"> </w:t>
            </w:r>
            <w:r w:rsidR="00DD557E" w:rsidRPr="00AE05CD">
              <w:rPr>
                <w:rFonts w:ascii="Arial" w:eastAsia="Times New Roman" w:hAnsi="Arial" w:cs="Arial"/>
                <w:color w:val="000000"/>
                <w:sz w:val="20"/>
                <w:szCs w:val="15"/>
              </w:rPr>
              <w:t>Instructions on the submission process are also available.</w:t>
            </w:r>
          </w:p>
          <w:p w:rsidR="005317F4" w:rsidRPr="005317F4" w:rsidRDefault="00107E60" w:rsidP="005317F4">
            <w:pPr>
              <w:spacing w:before="100" w:beforeAutospacing="1" w:after="100" w:afterAutospacing="1" w:line="240" w:lineRule="auto"/>
              <w:rPr>
                <w:rFonts w:ascii="Arial" w:eastAsia="Times New Roman" w:hAnsi="Arial" w:cs="Arial"/>
                <w:color w:val="000000"/>
                <w:sz w:val="21"/>
                <w:szCs w:val="21"/>
              </w:rPr>
            </w:pPr>
            <w:r>
              <w:rPr>
                <w:rFonts w:ascii="Arial" w:eastAsia="Times New Roman" w:hAnsi="Arial" w:cs="Arial"/>
                <w:color w:val="000000"/>
                <w:sz w:val="20"/>
                <w:szCs w:val="15"/>
              </w:rPr>
              <w:t>Not all associated equipment requires product approval prior to use. Innovation and technological advancement are expected and encouraged. The listing below isn’t necessarily all-inclusive or able to address every possible product design</w:t>
            </w:r>
            <w:r w:rsidR="004F324A">
              <w:rPr>
                <w:rFonts w:ascii="Arial" w:eastAsia="Times New Roman" w:hAnsi="Arial" w:cs="Arial"/>
                <w:color w:val="000000"/>
                <w:sz w:val="20"/>
                <w:szCs w:val="15"/>
              </w:rPr>
              <w:t>.  P</w:t>
            </w:r>
            <w:r>
              <w:rPr>
                <w:rFonts w:ascii="Arial" w:eastAsia="Times New Roman" w:hAnsi="Arial" w:cs="Arial"/>
                <w:color w:val="000000"/>
                <w:sz w:val="20"/>
                <w:szCs w:val="15"/>
              </w:rPr>
              <w:t>lease contact the Gaming Lab and/or Licensing as early in the product development/release process as possible</w:t>
            </w:r>
            <w:r w:rsidR="00DD557E">
              <w:rPr>
                <w:rFonts w:ascii="Arial" w:eastAsia="Times New Roman" w:hAnsi="Arial" w:cs="Arial"/>
                <w:color w:val="000000"/>
                <w:sz w:val="20"/>
                <w:szCs w:val="15"/>
              </w:rPr>
              <w:t xml:space="preserve"> with any questions</w:t>
            </w:r>
            <w:r>
              <w:rPr>
                <w:rFonts w:ascii="Arial" w:eastAsia="Times New Roman" w:hAnsi="Arial" w:cs="Arial"/>
                <w:color w:val="000000"/>
                <w:sz w:val="20"/>
                <w:szCs w:val="15"/>
              </w:rPr>
              <w:t>.</w:t>
            </w:r>
            <w:r w:rsidR="005317F4" w:rsidRPr="005317F4">
              <w:rPr>
                <w:rFonts w:ascii="Arial" w:eastAsia="Times New Roman" w:hAnsi="Arial" w:cs="Arial"/>
                <w:color w:val="000000"/>
                <w:sz w:val="21"/>
                <w:szCs w:val="21"/>
              </w:rPr>
              <w:t> </w:t>
            </w:r>
          </w:p>
          <w:tbl>
            <w:tblPr>
              <w:tblW w:w="8355" w:type="dxa"/>
              <w:tblCellSpacing w:w="0" w:type="dxa"/>
              <w:tblInd w:w="195" w:type="dxa"/>
              <w:tblBorders>
                <w:top w:val="outset" w:sz="6" w:space="0" w:color="000080"/>
                <w:left w:val="outset" w:sz="6" w:space="0" w:color="000080"/>
                <w:bottom w:val="outset" w:sz="6" w:space="0" w:color="000080"/>
                <w:right w:val="outset" w:sz="6" w:space="0" w:color="000080"/>
              </w:tblBorders>
              <w:shd w:val="clear" w:color="auto" w:fill="000080"/>
              <w:tblCellMar>
                <w:top w:w="180" w:type="dxa"/>
                <w:left w:w="180" w:type="dxa"/>
                <w:bottom w:w="180" w:type="dxa"/>
                <w:right w:w="180" w:type="dxa"/>
              </w:tblCellMar>
              <w:tblLook w:val="04A0" w:firstRow="1" w:lastRow="0" w:firstColumn="1" w:lastColumn="0" w:noHBand="0" w:noVBand="1"/>
            </w:tblPr>
            <w:tblGrid>
              <w:gridCol w:w="8355"/>
            </w:tblGrid>
            <w:tr w:rsidR="005317F4" w:rsidRPr="005317F4">
              <w:trPr>
                <w:trHeight w:val="564"/>
                <w:tblCellSpacing w:w="0" w:type="dxa"/>
              </w:trPr>
              <w:tc>
                <w:tcPr>
                  <w:tcW w:w="5000" w:type="pct"/>
                  <w:tcBorders>
                    <w:top w:val="outset" w:sz="6" w:space="0" w:color="0000A0"/>
                    <w:left w:val="outset" w:sz="6" w:space="0" w:color="0000A0"/>
                    <w:bottom w:val="outset" w:sz="6" w:space="0" w:color="0000A0"/>
                    <w:right w:val="outset" w:sz="6" w:space="0" w:color="0000A0"/>
                  </w:tcBorders>
                  <w:shd w:val="clear" w:color="auto" w:fill="000080"/>
                  <w:vAlign w:val="center"/>
                  <w:hideMark/>
                </w:tcPr>
                <w:p w:rsidR="005317F4" w:rsidRPr="005317F4" w:rsidRDefault="005317F4" w:rsidP="004F324A">
                  <w:pPr>
                    <w:spacing w:before="100" w:beforeAutospacing="1" w:after="100" w:afterAutospacing="1" w:line="240" w:lineRule="auto"/>
                    <w:jc w:val="center"/>
                    <w:rPr>
                      <w:rFonts w:ascii="Arial" w:eastAsia="Times New Roman" w:hAnsi="Arial" w:cs="Arial"/>
                      <w:color w:val="000000"/>
                      <w:sz w:val="20"/>
                      <w:szCs w:val="20"/>
                    </w:rPr>
                  </w:pPr>
                  <w:r w:rsidRPr="005317F4">
                    <w:rPr>
                      <w:rFonts w:ascii="Arial" w:eastAsia="Times New Roman" w:hAnsi="Arial" w:cs="Arial"/>
                      <w:color w:val="FFFFFF"/>
                      <w:sz w:val="20"/>
                      <w:szCs w:val="15"/>
                    </w:rPr>
                    <w:t>Associated Equipment may</w:t>
                  </w:r>
                  <w:r w:rsidR="004F324A">
                    <w:rPr>
                      <w:rFonts w:ascii="Arial" w:eastAsia="Times New Roman" w:hAnsi="Arial" w:cs="Arial"/>
                      <w:color w:val="FFFFFF"/>
                      <w:sz w:val="20"/>
                      <w:szCs w:val="15"/>
                    </w:rPr>
                    <w:t xml:space="preserve"> not</w:t>
                  </w:r>
                  <w:r w:rsidRPr="005317F4">
                    <w:rPr>
                      <w:rFonts w:ascii="Arial" w:eastAsia="Times New Roman" w:hAnsi="Arial" w:cs="Arial"/>
                      <w:color w:val="FFFFFF"/>
                      <w:sz w:val="20"/>
                      <w:szCs w:val="15"/>
                    </w:rPr>
                    <w:t xml:space="preserve"> be delivered to a casino licensee unless all appropriate Licenses/Vendor </w:t>
                  </w:r>
                  <w:r w:rsidR="004F324A">
                    <w:rPr>
                      <w:rFonts w:ascii="Arial" w:eastAsia="Times New Roman" w:hAnsi="Arial" w:cs="Arial"/>
                      <w:color w:val="FFFFFF"/>
                      <w:sz w:val="20"/>
                      <w:szCs w:val="15"/>
                    </w:rPr>
                    <w:t>Exemption</w:t>
                  </w:r>
                  <w:r w:rsidRPr="005317F4">
                    <w:rPr>
                      <w:rFonts w:ascii="Arial" w:eastAsia="Times New Roman" w:hAnsi="Arial" w:cs="Arial"/>
                      <w:color w:val="FFFFFF"/>
                      <w:sz w:val="20"/>
                      <w:szCs w:val="15"/>
                    </w:rPr>
                    <w:t xml:space="preserve"> and </w:t>
                  </w:r>
                  <w:r w:rsidR="001B3561">
                    <w:rPr>
                      <w:rFonts w:ascii="Arial" w:eastAsia="Times New Roman" w:hAnsi="Arial" w:cs="Arial"/>
                      <w:color w:val="FFFFFF"/>
                      <w:sz w:val="20"/>
                      <w:szCs w:val="15"/>
                    </w:rPr>
                    <w:t xml:space="preserve">written </w:t>
                  </w:r>
                  <w:r w:rsidRPr="005317F4">
                    <w:rPr>
                      <w:rFonts w:ascii="Arial" w:eastAsia="Times New Roman" w:hAnsi="Arial" w:cs="Arial"/>
                      <w:color w:val="FFFFFF"/>
                      <w:sz w:val="20"/>
                      <w:szCs w:val="15"/>
                    </w:rPr>
                    <w:t xml:space="preserve">MGCB Gaming Lab </w:t>
                  </w:r>
                  <w:r w:rsidR="00FF0DBC">
                    <w:rPr>
                      <w:rFonts w:ascii="Arial" w:eastAsia="Times New Roman" w:hAnsi="Arial" w:cs="Arial"/>
                      <w:color w:val="FFFFFF"/>
                      <w:sz w:val="20"/>
                      <w:szCs w:val="15"/>
                    </w:rPr>
                    <w:t xml:space="preserve">product </w:t>
                  </w:r>
                  <w:r w:rsidRPr="005317F4">
                    <w:rPr>
                      <w:rFonts w:ascii="Arial" w:eastAsia="Times New Roman" w:hAnsi="Arial" w:cs="Arial"/>
                      <w:color w:val="FFFFFF"/>
                      <w:sz w:val="20"/>
                      <w:szCs w:val="15"/>
                    </w:rPr>
                    <w:t>approval have been obtained from the MGCB.</w:t>
                  </w:r>
                  <w:r w:rsidRPr="005317F4">
                    <w:rPr>
                      <w:rFonts w:ascii="Arial" w:eastAsia="Times New Roman" w:hAnsi="Arial" w:cs="Arial"/>
                      <w:color w:val="000000"/>
                      <w:sz w:val="20"/>
                      <w:szCs w:val="15"/>
                    </w:rPr>
                    <w:t> </w:t>
                  </w:r>
                </w:p>
              </w:tc>
            </w:tr>
          </w:tbl>
          <w:p w:rsidR="005317F4" w:rsidRPr="005317F4" w:rsidRDefault="005317F4" w:rsidP="005317F4">
            <w:pPr>
              <w:spacing w:before="100" w:beforeAutospacing="1" w:after="100" w:afterAutospacing="1" w:line="240" w:lineRule="auto"/>
              <w:rPr>
                <w:rFonts w:ascii="Arial" w:eastAsia="Times New Roman" w:hAnsi="Arial" w:cs="Arial"/>
                <w:color w:val="000000"/>
                <w:sz w:val="21"/>
                <w:szCs w:val="21"/>
              </w:rPr>
            </w:pPr>
            <w:r w:rsidRPr="005317F4">
              <w:rPr>
                <w:rFonts w:ascii="Arial" w:eastAsia="Times New Roman" w:hAnsi="Arial" w:cs="Arial"/>
                <w:b/>
                <w:bCs/>
                <w:color w:val="000000"/>
                <w:sz w:val="21"/>
                <w:szCs w:val="21"/>
              </w:rPr>
              <w:br/>
              <w:t>Cost of Testi</w:t>
            </w:r>
            <w:r w:rsidR="003A4916">
              <w:rPr>
                <w:rFonts w:ascii="Arial" w:eastAsia="Times New Roman" w:hAnsi="Arial" w:cs="Arial"/>
                <w:b/>
                <w:bCs/>
                <w:color w:val="000000"/>
                <w:sz w:val="21"/>
                <w:szCs w:val="21"/>
              </w:rPr>
              <w:t>n</w:t>
            </w:r>
            <w:r w:rsidRPr="005317F4">
              <w:rPr>
                <w:rFonts w:ascii="Arial" w:eastAsia="Times New Roman" w:hAnsi="Arial" w:cs="Arial"/>
                <w:b/>
                <w:bCs/>
                <w:color w:val="000000"/>
                <w:sz w:val="21"/>
                <w:szCs w:val="21"/>
              </w:rPr>
              <w:t>g</w:t>
            </w:r>
            <w:r w:rsidRPr="005317F4">
              <w:rPr>
                <w:rFonts w:ascii="Arial" w:eastAsia="Times New Roman" w:hAnsi="Arial" w:cs="Arial"/>
                <w:color w:val="000000"/>
                <w:sz w:val="21"/>
                <w:szCs w:val="21"/>
              </w:rPr>
              <w:t> </w:t>
            </w:r>
            <w:r w:rsidRPr="005317F4">
              <w:rPr>
                <w:rFonts w:ascii="Arial" w:eastAsia="Times New Roman" w:hAnsi="Arial" w:cs="Arial"/>
                <w:color w:val="000000"/>
                <w:sz w:val="20"/>
                <w:szCs w:val="15"/>
              </w:rPr>
              <w:t>- </w:t>
            </w:r>
            <w:hyperlink r:id="rId9" w:tgtFrame="_blank" w:history="1">
              <w:r w:rsidRPr="00AE05CD">
                <w:rPr>
                  <w:rFonts w:ascii="Arial" w:eastAsia="Times New Roman" w:hAnsi="Arial" w:cs="Arial"/>
                  <w:color w:val="000000"/>
                  <w:sz w:val="20"/>
                  <w:szCs w:val="15"/>
                </w:rPr>
                <w:t>Rule 432.1842(4)(c)</w:t>
              </w:r>
            </w:hyperlink>
            <w:r w:rsidRPr="00747B67">
              <w:rPr>
                <w:rFonts w:ascii="Arial" w:eastAsia="Times New Roman" w:hAnsi="Arial" w:cs="Arial"/>
                <w:color w:val="000000"/>
                <w:sz w:val="20"/>
                <w:szCs w:val="15"/>
              </w:rPr>
              <w:t> </w:t>
            </w:r>
            <w:r w:rsidRPr="005317F4">
              <w:rPr>
                <w:rFonts w:ascii="Arial" w:eastAsia="Times New Roman" w:hAnsi="Arial" w:cs="Arial"/>
                <w:color w:val="000000"/>
                <w:sz w:val="20"/>
                <w:szCs w:val="15"/>
              </w:rPr>
              <w:t xml:space="preserve">provides that the manufacturer or distributor of Associated Equipment is required to pay the cost of the evaluation. MGCB Gaming Lab charges for Associated Equipment will be billed at $105.00 per hour for actual hours spent </w:t>
            </w:r>
            <w:r w:rsidR="001B3561">
              <w:rPr>
                <w:rFonts w:ascii="Arial" w:eastAsia="Times New Roman" w:hAnsi="Arial" w:cs="Arial"/>
                <w:color w:val="000000"/>
                <w:sz w:val="20"/>
                <w:szCs w:val="15"/>
              </w:rPr>
              <w:t>during the evaluation process</w:t>
            </w:r>
            <w:r w:rsidRPr="005317F4">
              <w:rPr>
                <w:rFonts w:ascii="Arial" w:eastAsia="Times New Roman" w:hAnsi="Arial" w:cs="Arial"/>
                <w:color w:val="000000"/>
                <w:sz w:val="20"/>
                <w:szCs w:val="15"/>
              </w:rPr>
              <w:t>.</w:t>
            </w:r>
            <w:r w:rsidR="00067202">
              <w:rPr>
                <w:rFonts w:ascii="Arial" w:eastAsia="Times New Roman" w:hAnsi="Arial" w:cs="Arial"/>
                <w:color w:val="000000"/>
                <w:sz w:val="20"/>
                <w:szCs w:val="15"/>
              </w:rPr>
              <w:t xml:space="preserve"> A standard rate of $325 may apply for evaluations of modifications to previously approved equipment.</w:t>
            </w:r>
            <w:r w:rsidRPr="005317F4">
              <w:rPr>
                <w:rFonts w:ascii="Arial" w:eastAsia="Times New Roman" w:hAnsi="Arial" w:cs="Arial"/>
                <w:color w:val="000000"/>
                <w:sz w:val="21"/>
                <w:szCs w:val="21"/>
              </w:rPr>
              <w:t> </w:t>
            </w:r>
          </w:p>
          <w:p w:rsidR="005317F4" w:rsidRPr="005317F4" w:rsidRDefault="005317F4" w:rsidP="005317F4">
            <w:pPr>
              <w:spacing w:before="100" w:beforeAutospacing="1" w:after="100" w:afterAutospacing="1" w:line="240" w:lineRule="auto"/>
              <w:rPr>
                <w:rFonts w:ascii="Arial" w:eastAsia="Times New Roman" w:hAnsi="Arial" w:cs="Arial"/>
                <w:color w:val="000000"/>
                <w:sz w:val="21"/>
                <w:szCs w:val="21"/>
              </w:rPr>
            </w:pPr>
            <w:r w:rsidRPr="005317F4">
              <w:rPr>
                <w:rFonts w:ascii="Arial" w:eastAsia="Times New Roman" w:hAnsi="Arial" w:cs="Arial"/>
                <w:color w:val="000000"/>
                <w:sz w:val="20"/>
                <w:szCs w:val="15"/>
              </w:rPr>
              <w:t xml:space="preserve">All submissions will be reviewed in the order they are received. Incomplete or inaccurate submissions will result in delay of MGCB Gaming Lab </w:t>
            </w:r>
            <w:r w:rsidR="003A4916">
              <w:rPr>
                <w:rFonts w:ascii="Arial" w:eastAsia="Times New Roman" w:hAnsi="Arial" w:cs="Arial"/>
                <w:color w:val="000000"/>
                <w:sz w:val="20"/>
                <w:szCs w:val="15"/>
              </w:rPr>
              <w:t>evaluation</w:t>
            </w:r>
            <w:r w:rsidRPr="005317F4">
              <w:rPr>
                <w:rFonts w:ascii="Arial" w:eastAsia="Times New Roman" w:hAnsi="Arial" w:cs="Arial"/>
                <w:color w:val="000000"/>
                <w:sz w:val="20"/>
                <w:szCs w:val="15"/>
              </w:rPr>
              <w:t>.</w:t>
            </w:r>
            <w:r w:rsidRPr="005317F4">
              <w:rPr>
                <w:rFonts w:ascii="Arial" w:eastAsia="Times New Roman" w:hAnsi="Arial" w:cs="Arial"/>
                <w:color w:val="000000"/>
                <w:sz w:val="21"/>
                <w:szCs w:val="21"/>
              </w:rPr>
              <w:t> </w:t>
            </w:r>
          </w:p>
          <w:p w:rsidR="005317F4" w:rsidRDefault="005317F4" w:rsidP="00177A3E">
            <w:pPr>
              <w:spacing w:before="100" w:beforeAutospacing="1" w:after="100" w:afterAutospacing="1" w:line="240" w:lineRule="auto"/>
              <w:rPr>
                <w:rFonts w:ascii="Arial" w:eastAsia="Times New Roman" w:hAnsi="Arial" w:cs="Arial"/>
                <w:color w:val="000000"/>
                <w:sz w:val="21"/>
                <w:szCs w:val="21"/>
              </w:rPr>
            </w:pPr>
            <w:r w:rsidRPr="005317F4">
              <w:rPr>
                <w:rFonts w:ascii="Arial" w:eastAsia="Times New Roman" w:hAnsi="Arial" w:cs="Arial"/>
                <w:b/>
                <w:bCs/>
                <w:color w:val="000000"/>
                <w:sz w:val="20"/>
                <w:szCs w:val="15"/>
              </w:rPr>
              <w:t>Please review the Associated Equipment Matrix carefully.</w:t>
            </w:r>
            <w:r w:rsidRPr="005317F4">
              <w:rPr>
                <w:rFonts w:ascii="Arial" w:eastAsia="Times New Roman" w:hAnsi="Arial" w:cs="Arial"/>
                <w:b/>
                <w:bCs/>
                <w:color w:val="000000"/>
                <w:sz w:val="21"/>
                <w:szCs w:val="21"/>
              </w:rPr>
              <w:t> </w:t>
            </w:r>
            <w:r w:rsidRPr="005317F4">
              <w:rPr>
                <w:rFonts w:ascii="Arial" w:eastAsia="Times New Roman" w:hAnsi="Arial" w:cs="Arial"/>
                <w:color w:val="000000"/>
                <w:sz w:val="21"/>
                <w:szCs w:val="21"/>
              </w:rPr>
              <w:t> </w:t>
            </w:r>
            <w:r w:rsidRPr="005317F4">
              <w:rPr>
                <w:rFonts w:ascii="Arial" w:eastAsia="Times New Roman" w:hAnsi="Arial" w:cs="Arial"/>
                <w:color w:val="000000"/>
                <w:sz w:val="20"/>
                <w:szCs w:val="15"/>
              </w:rPr>
              <w:t>If licensure is required, complete and submit a </w:t>
            </w:r>
            <w:hyperlink r:id="rId10" w:tgtFrame="_blank" w:history="1">
              <w:r w:rsidRPr="005317F4">
                <w:rPr>
                  <w:rFonts w:ascii="Arial" w:eastAsia="Times New Roman" w:hAnsi="Arial" w:cs="Arial"/>
                  <w:color w:val="000000"/>
                  <w:sz w:val="20"/>
                  <w:szCs w:val="15"/>
                  <w:u w:val="single"/>
                </w:rPr>
                <w:t>gaming-related supplier application</w:t>
              </w:r>
            </w:hyperlink>
            <w:r w:rsidRPr="005317F4">
              <w:rPr>
                <w:rFonts w:ascii="Arial" w:eastAsia="Times New Roman" w:hAnsi="Arial" w:cs="Arial"/>
                <w:color w:val="000000"/>
                <w:sz w:val="20"/>
                <w:szCs w:val="15"/>
              </w:rPr>
              <w:t> to the MGCB. If MGCB Gaming Lab approval is required, complete and submit t</w:t>
            </w:r>
            <w:r w:rsidR="003A4916">
              <w:rPr>
                <w:rFonts w:ascii="Arial" w:eastAsia="Times New Roman" w:hAnsi="Arial" w:cs="Arial"/>
                <w:color w:val="000000"/>
                <w:sz w:val="20"/>
                <w:szCs w:val="15"/>
              </w:rPr>
              <w:t>h</w:t>
            </w:r>
            <w:r w:rsidRPr="005317F4">
              <w:rPr>
                <w:rFonts w:ascii="Arial" w:eastAsia="Times New Roman" w:hAnsi="Arial" w:cs="Arial"/>
                <w:color w:val="000000"/>
                <w:sz w:val="20"/>
                <w:szCs w:val="15"/>
              </w:rPr>
              <w:t xml:space="preserve">e </w:t>
            </w:r>
            <w:r w:rsidR="001B3561">
              <w:rPr>
                <w:rFonts w:ascii="Arial" w:eastAsia="Times New Roman" w:hAnsi="Arial" w:cs="Arial"/>
                <w:color w:val="000000"/>
                <w:sz w:val="20"/>
                <w:szCs w:val="15"/>
              </w:rPr>
              <w:t xml:space="preserve">appropriate Gaming </w:t>
            </w:r>
            <w:hyperlink r:id="rId11" w:tgtFrame="_blank" w:history="1">
              <w:r w:rsidRPr="005317F4">
                <w:rPr>
                  <w:rFonts w:ascii="Arial" w:eastAsia="Times New Roman" w:hAnsi="Arial" w:cs="Arial"/>
                  <w:color w:val="000000"/>
                  <w:sz w:val="20"/>
                  <w:szCs w:val="15"/>
                  <w:u w:val="single"/>
                </w:rPr>
                <w:t xml:space="preserve">Laboratory </w:t>
              </w:r>
              <w:r w:rsidR="001B3561">
                <w:rPr>
                  <w:rFonts w:ascii="Arial" w:eastAsia="Times New Roman" w:hAnsi="Arial" w:cs="Arial"/>
                  <w:color w:val="000000"/>
                  <w:sz w:val="20"/>
                  <w:szCs w:val="15"/>
                  <w:u w:val="single"/>
                </w:rPr>
                <w:t>s</w:t>
              </w:r>
              <w:r w:rsidRPr="005317F4">
                <w:rPr>
                  <w:rFonts w:ascii="Arial" w:eastAsia="Times New Roman" w:hAnsi="Arial" w:cs="Arial"/>
                  <w:color w:val="000000"/>
                  <w:sz w:val="20"/>
                  <w:szCs w:val="15"/>
                  <w:u w:val="single"/>
                </w:rPr>
                <w:t>ubmission fo</w:t>
              </w:r>
              <w:r w:rsidR="003A4916">
                <w:rPr>
                  <w:rFonts w:ascii="Arial" w:eastAsia="Times New Roman" w:hAnsi="Arial" w:cs="Arial"/>
                  <w:color w:val="000000"/>
                  <w:sz w:val="20"/>
                  <w:szCs w:val="15"/>
                  <w:u w:val="single"/>
                </w:rPr>
                <w:t>r</w:t>
              </w:r>
              <w:r w:rsidRPr="005317F4">
                <w:rPr>
                  <w:rFonts w:ascii="Arial" w:eastAsia="Times New Roman" w:hAnsi="Arial" w:cs="Arial"/>
                  <w:color w:val="000000"/>
                  <w:sz w:val="20"/>
                  <w:szCs w:val="15"/>
                  <w:u w:val="single"/>
                </w:rPr>
                <w:t>m</w:t>
              </w:r>
            </w:hyperlink>
            <w:r w:rsidRPr="005317F4">
              <w:rPr>
                <w:rFonts w:ascii="Arial" w:eastAsia="Times New Roman" w:hAnsi="Arial" w:cs="Arial"/>
                <w:color w:val="000000"/>
                <w:sz w:val="20"/>
                <w:szCs w:val="15"/>
              </w:rPr>
              <w:t xml:space="preserve"> to the M</w:t>
            </w:r>
            <w:r w:rsidR="003A4916">
              <w:rPr>
                <w:rFonts w:ascii="Arial" w:eastAsia="Times New Roman" w:hAnsi="Arial" w:cs="Arial"/>
                <w:color w:val="000000"/>
                <w:sz w:val="20"/>
                <w:szCs w:val="15"/>
              </w:rPr>
              <w:t>G</w:t>
            </w:r>
            <w:r w:rsidRPr="005317F4">
              <w:rPr>
                <w:rFonts w:ascii="Arial" w:eastAsia="Times New Roman" w:hAnsi="Arial" w:cs="Arial"/>
                <w:color w:val="000000"/>
                <w:sz w:val="20"/>
                <w:szCs w:val="15"/>
              </w:rPr>
              <w:t xml:space="preserve">CB's Gaming Lab. Additionally, </w:t>
            </w:r>
            <w:r w:rsidR="001B3561">
              <w:rPr>
                <w:rFonts w:ascii="Arial" w:eastAsia="Times New Roman" w:hAnsi="Arial" w:cs="Arial"/>
                <w:color w:val="000000"/>
                <w:sz w:val="20"/>
                <w:szCs w:val="15"/>
              </w:rPr>
              <w:t>up to two (2)</w:t>
            </w:r>
            <w:r w:rsidRPr="005317F4">
              <w:rPr>
                <w:rFonts w:ascii="Arial" w:eastAsia="Times New Roman" w:hAnsi="Arial" w:cs="Arial"/>
                <w:color w:val="000000"/>
                <w:sz w:val="20"/>
                <w:szCs w:val="15"/>
              </w:rPr>
              <w:t xml:space="preserve"> complete working model</w:t>
            </w:r>
            <w:r w:rsidR="001B3561">
              <w:rPr>
                <w:rFonts w:ascii="Arial" w:eastAsia="Times New Roman" w:hAnsi="Arial" w:cs="Arial"/>
                <w:color w:val="000000"/>
                <w:sz w:val="20"/>
                <w:szCs w:val="15"/>
              </w:rPr>
              <w:t>s</w:t>
            </w:r>
            <w:r w:rsidRPr="005317F4">
              <w:rPr>
                <w:rFonts w:ascii="Arial" w:eastAsia="Times New Roman" w:hAnsi="Arial" w:cs="Arial"/>
                <w:color w:val="000000"/>
                <w:sz w:val="20"/>
                <w:szCs w:val="15"/>
              </w:rPr>
              <w:t xml:space="preserve"> or prototype</w:t>
            </w:r>
            <w:r w:rsidR="001B3561">
              <w:rPr>
                <w:rFonts w:ascii="Arial" w:eastAsia="Times New Roman" w:hAnsi="Arial" w:cs="Arial"/>
                <w:color w:val="000000"/>
                <w:sz w:val="20"/>
                <w:szCs w:val="15"/>
              </w:rPr>
              <w:t>s</w:t>
            </w:r>
            <w:r w:rsidRPr="005317F4">
              <w:rPr>
                <w:rFonts w:ascii="Arial" w:eastAsia="Times New Roman" w:hAnsi="Arial" w:cs="Arial"/>
                <w:color w:val="000000"/>
                <w:sz w:val="20"/>
                <w:szCs w:val="15"/>
              </w:rPr>
              <w:t xml:space="preserve"> of the </w:t>
            </w:r>
            <w:r w:rsidR="00067202">
              <w:rPr>
                <w:rFonts w:ascii="Arial" w:eastAsia="Times New Roman" w:hAnsi="Arial" w:cs="Arial"/>
                <w:color w:val="000000"/>
                <w:sz w:val="20"/>
                <w:szCs w:val="15"/>
              </w:rPr>
              <w:t xml:space="preserve">associated equipment </w:t>
            </w:r>
            <w:r w:rsidR="00C07A13">
              <w:rPr>
                <w:rFonts w:ascii="Arial" w:eastAsia="Times New Roman" w:hAnsi="Arial" w:cs="Arial"/>
                <w:color w:val="000000"/>
                <w:sz w:val="20"/>
                <w:szCs w:val="15"/>
              </w:rPr>
              <w:t>may</w:t>
            </w:r>
            <w:r w:rsidRPr="005317F4">
              <w:rPr>
                <w:rFonts w:ascii="Arial" w:eastAsia="Times New Roman" w:hAnsi="Arial" w:cs="Arial"/>
                <w:color w:val="000000"/>
                <w:sz w:val="20"/>
                <w:szCs w:val="15"/>
              </w:rPr>
              <w:t xml:space="preserve"> be </w:t>
            </w:r>
            <w:r w:rsidR="00C07A13">
              <w:rPr>
                <w:rFonts w:ascii="Arial" w:eastAsia="Times New Roman" w:hAnsi="Arial" w:cs="Arial"/>
                <w:color w:val="000000"/>
                <w:sz w:val="20"/>
                <w:szCs w:val="15"/>
              </w:rPr>
              <w:t xml:space="preserve">required to be </w:t>
            </w:r>
            <w:r w:rsidRPr="005317F4">
              <w:rPr>
                <w:rFonts w:ascii="Arial" w:eastAsia="Times New Roman" w:hAnsi="Arial" w:cs="Arial"/>
                <w:color w:val="000000"/>
                <w:sz w:val="20"/>
                <w:szCs w:val="15"/>
              </w:rPr>
              <w:t xml:space="preserve">submitted for </w:t>
            </w:r>
            <w:r w:rsidR="00177A3E">
              <w:rPr>
                <w:rFonts w:ascii="Arial" w:eastAsia="Times New Roman" w:hAnsi="Arial" w:cs="Arial"/>
                <w:color w:val="000000"/>
                <w:sz w:val="20"/>
                <w:szCs w:val="15"/>
              </w:rPr>
              <w:t>evaluation</w:t>
            </w:r>
            <w:r w:rsidR="00177A3E" w:rsidRPr="005317F4">
              <w:rPr>
                <w:rFonts w:ascii="Arial" w:eastAsia="Times New Roman" w:hAnsi="Arial" w:cs="Arial"/>
                <w:color w:val="000000"/>
                <w:sz w:val="20"/>
                <w:szCs w:val="15"/>
              </w:rPr>
              <w:t xml:space="preserve"> </w:t>
            </w:r>
            <w:r w:rsidRPr="005317F4">
              <w:rPr>
                <w:rFonts w:ascii="Arial" w:eastAsia="Times New Roman" w:hAnsi="Arial" w:cs="Arial"/>
                <w:color w:val="000000"/>
                <w:sz w:val="20"/>
                <w:szCs w:val="15"/>
              </w:rPr>
              <w:t>by the MGCB Gaming Lab.</w:t>
            </w:r>
            <w:r w:rsidR="00067202">
              <w:rPr>
                <w:rFonts w:ascii="Arial" w:eastAsia="Times New Roman" w:hAnsi="Arial" w:cs="Arial"/>
                <w:color w:val="000000"/>
                <w:sz w:val="20"/>
                <w:szCs w:val="15"/>
              </w:rPr>
              <w:t xml:space="preserve"> Please contact the Gaming Laboratory PRIOR to sending any equipment</w:t>
            </w:r>
            <w:r w:rsidR="00177A3E">
              <w:rPr>
                <w:rFonts w:ascii="Arial" w:eastAsia="Times New Roman" w:hAnsi="Arial" w:cs="Arial"/>
                <w:color w:val="000000"/>
                <w:sz w:val="20"/>
                <w:szCs w:val="15"/>
              </w:rPr>
              <w:t xml:space="preserve"> to the Lab</w:t>
            </w:r>
            <w:r w:rsidR="00067202">
              <w:rPr>
                <w:rFonts w:ascii="Arial" w:eastAsia="Times New Roman" w:hAnsi="Arial" w:cs="Arial"/>
                <w:color w:val="000000"/>
                <w:sz w:val="20"/>
                <w:szCs w:val="15"/>
              </w:rPr>
              <w:t>.</w:t>
            </w:r>
            <w:r w:rsidRPr="005317F4">
              <w:rPr>
                <w:rFonts w:ascii="Arial" w:eastAsia="Times New Roman" w:hAnsi="Arial" w:cs="Arial"/>
                <w:color w:val="000000"/>
                <w:sz w:val="21"/>
                <w:szCs w:val="21"/>
              </w:rPr>
              <w:t> </w:t>
            </w:r>
          </w:p>
          <w:p w:rsidR="002303B4" w:rsidRDefault="002303B4" w:rsidP="00177A3E">
            <w:pPr>
              <w:spacing w:before="100" w:beforeAutospacing="1" w:after="100" w:afterAutospacing="1" w:line="240" w:lineRule="auto"/>
              <w:rPr>
                <w:rFonts w:ascii="Arial" w:eastAsia="Times New Roman" w:hAnsi="Arial" w:cs="Arial"/>
                <w:color w:val="000000"/>
                <w:sz w:val="21"/>
                <w:szCs w:val="21"/>
              </w:rPr>
            </w:pPr>
          </w:p>
          <w:p w:rsidR="002303B4" w:rsidRDefault="002303B4" w:rsidP="00177A3E">
            <w:pPr>
              <w:spacing w:before="100" w:beforeAutospacing="1" w:after="100" w:afterAutospacing="1" w:line="240" w:lineRule="auto"/>
              <w:rPr>
                <w:rFonts w:ascii="Arial" w:eastAsia="Times New Roman" w:hAnsi="Arial" w:cs="Arial"/>
                <w:color w:val="000000"/>
                <w:sz w:val="21"/>
                <w:szCs w:val="21"/>
              </w:rPr>
            </w:pPr>
          </w:p>
          <w:p w:rsidR="002303B4" w:rsidRDefault="002303B4" w:rsidP="00177A3E">
            <w:pPr>
              <w:spacing w:before="100" w:beforeAutospacing="1" w:after="100" w:afterAutospacing="1" w:line="240" w:lineRule="auto"/>
              <w:rPr>
                <w:rFonts w:ascii="Arial" w:eastAsia="Times New Roman" w:hAnsi="Arial" w:cs="Arial"/>
                <w:color w:val="000000"/>
                <w:sz w:val="21"/>
                <w:szCs w:val="21"/>
              </w:rPr>
            </w:pPr>
          </w:p>
          <w:p w:rsidR="002303B4" w:rsidRDefault="002303B4" w:rsidP="00177A3E">
            <w:pPr>
              <w:spacing w:before="100" w:beforeAutospacing="1" w:after="100" w:afterAutospacing="1" w:line="240" w:lineRule="auto"/>
              <w:rPr>
                <w:rFonts w:ascii="Arial" w:eastAsia="Times New Roman" w:hAnsi="Arial" w:cs="Arial"/>
                <w:color w:val="000000"/>
                <w:sz w:val="21"/>
                <w:szCs w:val="21"/>
              </w:rPr>
            </w:pPr>
          </w:p>
          <w:p w:rsidR="002303B4" w:rsidRDefault="002303B4" w:rsidP="002303B4">
            <w:pPr>
              <w:spacing w:after="0" w:line="240" w:lineRule="auto"/>
              <w:rPr>
                <w:rFonts w:ascii="Arial" w:eastAsia="Times New Roman" w:hAnsi="Arial" w:cs="Arial"/>
                <w:color w:val="000000"/>
                <w:sz w:val="21"/>
                <w:szCs w:val="21"/>
              </w:rPr>
            </w:pPr>
          </w:p>
          <w:p w:rsidR="002303B4" w:rsidRPr="002303B4" w:rsidRDefault="002303B4" w:rsidP="002303B4">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MGCB-RAL-4020 (Rev. 01/2014)</w:t>
            </w:r>
          </w:p>
        </w:tc>
      </w:tr>
    </w:tbl>
    <w:p w:rsidR="00067A3C" w:rsidRDefault="00067A3C">
      <w:pPr>
        <w:rPr>
          <w:rFonts w:ascii="Arial" w:eastAsia="Times New Roman" w:hAnsi="Arial" w:cs="Arial"/>
          <w:color w:val="000000"/>
          <w:sz w:val="24"/>
          <w:szCs w:val="24"/>
        </w:rPr>
        <w:sectPr w:rsidR="00067A3C" w:rsidSect="002303B4">
          <w:pgSz w:w="12240" w:h="15840"/>
          <w:pgMar w:top="1440" w:right="1440" w:bottom="1440" w:left="1440" w:header="144" w:footer="288" w:gutter="0"/>
          <w:cols w:space="720"/>
          <w:docGrid w:linePitch="360"/>
        </w:sectPr>
      </w:pPr>
      <w:bookmarkStart w:id="0" w:name="_GoBack"/>
      <w:bookmarkEnd w:id="0"/>
    </w:p>
    <w:p w:rsidR="005317F4" w:rsidRDefault="005317F4">
      <w:pPr>
        <w:rPr>
          <w:rFonts w:ascii="Arial" w:eastAsia="Times New Roman" w:hAnsi="Arial" w:cs="Arial"/>
          <w:color w:val="000000"/>
          <w:sz w:val="24"/>
          <w:szCs w:val="24"/>
        </w:rPr>
      </w:pPr>
    </w:p>
    <w:tbl>
      <w:tblPr>
        <w:tblStyle w:val="TableGrid"/>
        <w:tblW w:w="0" w:type="auto"/>
        <w:tblLook w:val="04A0" w:firstRow="1" w:lastRow="0" w:firstColumn="1" w:lastColumn="0" w:noHBand="0" w:noVBand="1"/>
      </w:tblPr>
      <w:tblGrid>
        <w:gridCol w:w="4878"/>
        <w:gridCol w:w="2517"/>
        <w:gridCol w:w="4017"/>
        <w:gridCol w:w="1300"/>
      </w:tblGrid>
      <w:tr w:rsidR="008517AE" w:rsidRPr="008517AE" w:rsidTr="00386059">
        <w:trPr>
          <w:trHeight w:val="550"/>
        </w:trPr>
        <w:tc>
          <w:tcPr>
            <w:tcW w:w="0" w:type="auto"/>
            <w:gridSpan w:val="4"/>
            <w:shd w:val="clear" w:color="auto" w:fill="002060"/>
            <w:hideMark/>
          </w:tcPr>
          <w:p w:rsidR="005317F4" w:rsidRPr="008517AE" w:rsidRDefault="005317F4" w:rsidP="008517AE">
            <w:pPr>
              <w:spacing w:before="100" w:beforeAutospacing="1" w:after="100" w:afterAutospacing="1"/>
              <w:jc w:val="center"/>
              <w:rPr>
                <w:rFonts w:ascii="Arial" w:eastAsia="Times New Roman" w:hAnsi="Arial" w:cs="Arial"/>
                <w:sz w:val="32"/>
                <w:szCs w:val="32"/>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8517AE">
              <w:rPr>
                <w:rFonts w:ascii="Arial" w:eastAsia="Times New Roman" w:hAnsi="Arial" w:cs="Arial"/>
                <w:sz w:val="32"/>
                <w:szCs w:val="32"/>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Associated Equipment</w:t>
            </w:r>
            <w:r w:rsidR="00067202" w:rsidRPr="008517AE">
              <w:rPr>
                <w:rFonts w:ascii="Arial" w:eastAsia="Times New Roman" w:hAnsi="Arial" w:cs="Arial"/>
                <w:sz w:val="32"/>
                <w:szCs w:val="32"/>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 xml:space="preserve"> </w:t>
            </w:r>
            <w:r w:rsidRPr="008517AE">
              <w:rPr>
                <w:rFonts w:ascii="Arial" w:eastAsia="Times New Roman" w:hAnsi="Arial" w:cs="Arial"/>
                <w:sz w:val="32"/>
                <w:szCs w:val="32"/>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Matrix</w:t>
            </w:r>
          </w:p>
        </w:tc>
      </w:tr>
      <w:tr w:rsidR="004B26B4" w:rsidRPr="005317F4" w:rsidTr="008517AE">
        <w:trPr>
          <w:trHeight w:val="620"/>
        </w:trPr>
        <w:tc>
          <w:tcPr>
            <w:tcW w:w="4878" w:type="dxa"/>
            <w:vAlign w:val="center"/>
            <w:hideMark/>
          </w:tcPr>
          <w:p w:rsidR="005317F4" w:rsidRPr="005317F4" w:rsidRDefault="005317F4" w:rsidP="008517AE">
            <w:pPr>
              <w:spacing w:before="100" w:beforeAutospacing="1" w:after="100" w:afterAutospacing="1"/>
              <w:jc w:val="center"/>
              <w:rPr>
                <w:rFonts w:ascii="Arial" w:eastAsia="Times New Roman" w:hAnsi="Arial" w:cs="Arial"/>
                <w:color w:val="000000"/>
                <w:sz w:val="20"/>
                <w:szCs w:val="20"/>
              </w:rPr>
            </w:pPr>
            <w:r w:rsidRPr="005317F4">
              <w:rPr>
                <w:rFonts w:ascii="Arial" w:eastAsia="Times New Roman" w:hAnsi="Arial" w:cs="Arial"/>
                <w:b/>
                <w:bCs/>
                <w:color w:val="000000"/>
                <w:sz w:val="20"/>
                <w:szCs w:val="20"/>
              </w:rPr>
              <w:t>Type of Equipment</w:t>
            </w:r>
          </w:p>
        </w:tc>
        <w:tc>
          <w:tcPr>
            <w:tcW w:w="2517" w:type="dxa"/>
            <w:vAlign w:val="center"/>
            <w:hideMark/>
          </w:tcPr>
          <w:p w:rsidR="005317F4" w:rsidRPr="005317F4" w:rsidRDefault="00C07A13" w:rsidP="008517AE">
            <w:pPr>
              <w:spacing w:before="100" w:beforeAutospacing="1" w:after="100" w:afterAutospacing="1"/>
              <w:jc w:val="center"/>
              <w:rPr>
                <w:rFonts w:ascii="Arial" w:eastAsia="Times New Roman" w:hAnsi="Arial" w:cs="Arial"/>
                <w:color w:val="000000"/>
                <w:sz w:val="20"/>
                <w:szCs w:val="20"/>
              </w:rPr>
            </w:pPr>
            <w:r>
              <w:rPr>
                <w:rFonts w:ascii="Arial" w:eastAsia="Times New Roman" w:hAnsi="Arial" w:cs="Arial"/>
                <w:b/>
                <w:bCs/>
                <w:color w:val="000000"/>
                <w:sz w:val="20"/>
                <w:szCs w:val="20"/>
              </w:rPr>
              <w:t xml:space="preserve">Gaming </w:t>
            </w:r>
            <w:r w:rsidR="005317F4" w:rsidRPr="005317F4">
              <w:rPr>
                <w:rFonts w:ascii="Arial" w:eastAsia="Times New Roman" w:hAnsi="Arial" w:cs="Arial"/>
                <w:b/>
                <w:bCs/>
                <w:color w:val="000000"/>
                <w:sz w:val="20"/>
                <w:szCs w:val="20"/>
              </w:rPr>
              <w:t>License Required</w:t>
            </w:r>
            <w:r w:rsidR="00107E60" w:rsidRPr="00AE05CD">
              <w:rPr>
                <w:rFonts w:ascii="Arial" w:eastAsia="Times New Roman" w:hAnsi="Arial" w:cs="Arial"/>
                <w:b/>
                <w:bCs/>
                <w:color w:val="000000"/>
                <w:sz w:val="20"/>
                <w:szCs w:val="20"/>
                <w:vertAlign w:val="superscript"/>
              </w:rPr>
              <w:t>1</w:t>
            </w:r>
          </w:p>
        </w:tc>
        <w:tc>
          <w:tcPr>
            <w:tcW w:w="4017" w:type="dxa"/>
            <w:vAlign w:val="center"/>
            <w:hideMark/>
          </w:tcPr>
          <w:p w:rsidR="008517AE" w:rsidRDefault="004B26B4" w:rsidP="008517AE">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 xml:space="preserve">Exemption or Non-Gaming Supplier </w:t>
            </w:r>
          </w:p>
          <w:p w:rsidR="005317F4" w:rsidRPr="005317F4" w:rsidRDefault="004B26B4" w:rsidP="008517AE">
            <w:pPr>
              <w:jc w:val="center"/>
              <w:rPr>
                <w:rFonts w:ascii="Arial" w:eastAsia="Times New Roman" w:hAnsi="Arial" w:cs="Arial"/>
                <w:color w:val="000000"/>
                <w:sz w:val="20"/>
                <w:szCs w:val="20"/>
              </w:rPr>
            </w:pPr>
            <w:r>
              <w:rPr>
                <w:rFonts w:ascii="Arial" w:eastAsia="Times New Roman" w:hAnsi="Arial" w:cs="Arial"/>
                <w:b/>
                <w:bCs/>
                <w:color w:val="000000"/>
                <w:sz w:val="20"/>
                <w:szCs w:val="20"/>
              </w:rPr>
              <w:t xml:space="preserve">License </w:t>
            </w:r>
            <w:r w:rsidR="00C07A13">
              <w:rPr>
                <w:rFonts w:ascii="Arial" w:eastAsia="Times New Roman" w:hAnsi="Arial" w:cs="Arial"/>
                <w:b/>
                <w:bCs/>
                <w:color w:val="000000"/>
                <w:sz w:val="20"/>
                <w:szCs w:val="20"/>
              </w:rPr>
              <w:t>Required</w:t>
            </w:r>
            <w:r w:rsidR="00C07A13" w:rsidRPr="00AE05CD">
              <w:rPr>
                <w:rFonts w:ascii="Arial" w:eastAsia="Times New Roman" w:hAnsi="Arial" w:cs="Arial"/>
                <w:b/>
                <w:bCs/>
                <w:color w:val="000000"/>
                <w:sz w:val="20"/>
                <w:szCs w:val="20"/>
                <w:vertAlign w:val="superscript"/>
              </w:rPr>
              <w:t>1</w:t>
            </w:r>
          </w:p>
        </w:tc>
        <w:tc>
          <w:tcPr>
            <w:tcW w:w="1300" w:type="dxa"/>
            <w:vAlign w:val="center"/>
            <w:hideMark/>
          </w:tcPr>
          <w:p w:rsidR="005317F4" w:rsidRPr="005317F4" w:rsidRDefault="005317F4" w:rsidP="008517AE">
            <w:pPr>
              <w:spacing w:before="100" w:beforeAutospacing="1" w:after="100" w:afterAutospacing="1"/>
              <w:jc w:val="center"/>
              <w:rPr>
                <w:rFonts w:ascii="Arial" w:eastAsia="Times New Roman" w:hAnsi="Arial" w:cs="Arial"/>
                <w:color w:val="000000"/>
                <w:sz w:val="20"/>
                <w:szCs w:val="20"/>
              </w:rPr>
            </w:pPr>
            <w:r w:rsidRPr="005317F4">
              <w:rPr>
                <w:rFonts w:ascii="Arial" w:eastAsia="Times New Roman" w:hAnsi="Arial" w:cs="Arial"/>
                <w:b/>
                <w:bCs/>
                <w:color w:val="000000"/>
                <w:sz w:val="20"/>
                <w:szCs w:val="20"/>
              </w:rPr>
              <w:t xml:space="preserve">Lab </w:t>
            </w:r>
            <w:r w:rsidR="001B3561">
              <w:rPr>
                <w:rFonts w:ascii="Arial" w:eastAsia="Times New Roman" w:hAnsi="Arial" w:cs="Arial"/>
                <w:b/>
                <w:bCs/>
                <w:color w:val="000000"/>
                <w:sz w:val="20"/>
                <w:szCs w:val="20"/>
              </w:rPr>
              <w:t>Evaluation</w:t>
            </w:r>
            <w:r w:rsidR="00107E60" w:rsidRPr="00AE05CD">
              <w:rPr>
                <w:rFonts w:ascii="Arial" w:eastAsia="Times New Roman" w:hAnsi="Arial" w:cs="Arial"/>
                <w:b/>
                <w:bCs/>
                <w:color w:val="000000"/>
                <w:sz w:val="20"/>
                <w:szCs w:val="20"/>
                <w:vertAlign w:val="superscript"/>
              </w:rPr>
              <w:t>2</w:t>
            </w:r>
          </w:p>
        </w:tc>
      </w:tr>
      <w:tr w:rsidR="008517AE" w:rsidRPr="005317F4" w:rsidTr="00C16D4E">
        <w:trPr>
          <w:trHeight w:val="245"/>
        </w:trPr>
        <w:tc>
          <w:tcPr>
            <w:tcW w:w="4878" w:type="dxa"/>
            <w:vAlign w:val="center"/>
            <w:hideMark/>
          </w:tcPr>
          <w:p w:rsidR="005317F4" w:rsidRPr="002303B4" w:rsidRDefault="00ED1B6D" w:rsidP="008517AE">
            <w:pPr>
              <w:rPr>
                <w:rFonts w:ascii="Arial" w:eastAsia="Times New Roman" w:hAnsi="Arial" w:cs="Arial"/>
                <w:color w:val="000000"/>
                <w:sz w:val="18"/>
                <w:szCs w:val="18"/>
              </w:rPr>
            </w:pPr>
            <w:r w:rsidRPr="002303B4">
              <w:rPr>
                <w:rFonts w:ascii="Arial" w:eastAsia="Times New Roman" w:hAnsi="Arial" w:cs="Arial"/>
                <w:color w:val="000000"/>
                <w:sz w:val="18"/>
                <w:szCs w:val="18"/>
              </w:rPr>
              <w:t>Award Glass</w:t>
            </w:r>
          </w:p>
        </w:tc>
        <w:tc>
          <w:tcPr>
            <w:tcW w:w="2517" w:type="dxa"/>
            <w:vAlign w:val="center"/>
            <w:hideMark/>
          </w:tcPr>
          <w:p w:rsidR="005317F4" w:rsidRPr="002303B4" w:rsidRDefault="005317F4" w:rsidP="008517AE">
            <w:pPr>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4017" w:type="dxa"/>
            <w:vAlign w:val="center"/>
            <w:hideMark/>
          </w:tcPr>
          <w:p w:rsidR="005317F4" w:rsidRPr="002303B4" w:rsidRDefault="005317F4" w:rsidP="008517AE">
            <w:pPr>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1300" w:type="dxa"/>
            <w:vAlign w:val="center"/>
            <w:hideMark/>
          </w:tcPr>
          <w:p w:rsidR="005317F4" w:rsidRPr="002303B4" w:rsidRDefault="005317F4" w:rsidP="008517AE">
            <w:pPr>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r>
      <w:tr w:rsidR="004B26B4" w:rsidRPr="005317F4" w:rsidTr="00C16D4E">
        <w:trPr>
          <w:trHeight w:val="245"/>
        </w:trPr>
        <w:tc>
          <w:tcPr>
            <w:tcW w:w="4878" w:type="dxa"/>
            <w:vAlign w:val="center"/>
            <w:hideMark/>
          </w:tcPr>
          <w:p w:rsidR="005317F4" w:rsidRPr="002303B4" w:rsidRDefault="00E45D2F"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 xml:space="preserve">Automatic </w:t>
            </w:r>
            <w:r w:rsidR="005317F4" w:rsidRPr="002303B4">
              <w:rPr>
                <w:rFonts w:ascii="Arial" w:eastAsia="Times New Roman" w:hAnsi="Arial" w:cs="Arial"/>
                <w:color w:val="000000"/>
                <w:sz w:val="18"/>
                <w:szCs w:val="18"/>
              </w:rPr>
              <w:t>Card Shufflers </w:t>
            </w:r>
          </w:p>
        </w:tc>
        <w:tc>
          <w:tcPr>
            <w:tcW w:w="2517" w:type="dxa"/>
            <w:vAlign w:val="center"/>
            <w:hideMark/>
          </w:tcPr>
          <w:p w:rsidR="005317F4" w:rsidRPr="002303B4" w:rsidRDefault="005317F4"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4017" w:type="dxa"/>
            <w:vAlign w:val="center"/>
            <w:hideMark/>
          </w:tcPr>
          <w:p w:rsidR="005317F4" w:rsidRPr="002303B4" w:rsidRDefault="005317F4"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1300" w:type="dxa"/>
            <w:vAlign w:val="center"/>
            <w:hideMark/>
          </w:tcPr>
          <w:p w:rsidR="005317F4" w:rsidRPr="002303B4" w:rsidRDefault="005317F4"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r>
      <w:tr w:rsidR="00C07A13" w:rsidRPr="005317F4" w:rsidTr="00C16D4E">
        <w:trPr>
          <w:trHeight w:val="245"/>
        </w:trPr>
        <w:tc>
          <w:tcPr>
            <w:tcW w:w="4878" w:type="dxa"/>
            <w:vAlign w:val="center"/>
          </w:tcPr>
          <w:p w:rsidR="00C07A13" w:rsidRPr="002303B4" w:rsidRDefault="00BD3551"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Ball Reader (i.e., used</w:t>
            </w:r>
            <w:r w:rsidR="00C07A13" w:rsidRPr="002303B4">
              <w:rPr>
                <w:rFonts w:ascii="Arial" w:eastAsia="Times New Roman" w:hAnsi="Arial" w:cs="Arial"/>
                <w:color w:val="000000"/>
                <w:sz w:val="18"/>
                <w:szCs w:val="18"/>
              </w:rPr>
              <w:t xml:space="preserve"> with </w:t>
            </w:r>
            <w:r w:rsidRPr="002303B4">
              <w:rPr>
                <w:rFonts w:ascii="Arial" w:eastAsia="Times New Roman" w:hAnsi="Arial" w:cs="Arial"/>
                <w:color w:val="000000"/>
                <w:sz w:val="18"/>
                <w:szCs w:val="18"/>
              </w:rPr>
              <w:t xml:space="preserve">Roulette </w:t>
            </w:r>
            <w:r w:rsidR="00C07A13" w:rsidRPr="002303B4">
              <w:rPr>
                <w:rFonts w:ascii="Arial" w:eastAsia="Times New Roman" w:hAnsi="Arial" w:cs="Arial"/>
                <w:color w:val="000000"/>
                <w:sz w:val="18"/>
                <w:szCs w:val="18"/>
              </w:rPr>
              <w:t>display)</w:t>
            </w:r>
          </w:p>
        </w:tc>
        <w:tc>
          <w:tcPr>
            <w:tcW w:w="2517" w:type="dxa"/>
            <w:vAlign w:val="center"/>
          </w:tcPr>
          <w:p w:rsidR="00C07A13" w:rsidRPr="002303B4" w:rsidRDefault="00107BB5"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4017" w:type="dxa"/>
            <w:vAlign w:val="center"/>
          </w:tcPr>
          <w:p w:rsidR="00C07A13" w:rsidRPr="002303B4" w:rsidRDefault="00107BB5"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1300" w:type="dxa"/>
            <w:vAlign w:val="center"/>
          </w:tcPr>
          <w:p w:rsidR="00C07A13" w:rsidRPr="002303B4" w:rsidRDefault="00C07A13"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r>
      <w:tr w:rsidR="004B26B4" w:rsidRPr="005317F4" w:rsidTr="00C16D4E">
        <w:trPr>
          <w:trHeight w:val="245"/>
        </w:trPr>
        <w:tc>
          <w:tcPr>
            <w:tcW w:w="4878" w:type="dxa"/>
            <w:vAlign w:val="center"/>
            <w:hideMark/>
          </w:tcPr>
          <w:p w:rsidR="005317F4" w:rsidRPr="002303B4" w:rsidRDefault="005317F4"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Cashless Wagering System </w:t>
            </w:r>
          </w:p>
        </w:tc>
        <w:tc>
          <w:tcPr>
            <w:tcW w:w="2517" w:type="dxa"/>
            <w:vAlign w:val="center"/>
            <w:hideMark/>
          </w:tcPr>
          <w:p w:rsidR="005317F4" w:rsidRPr="002303B4" w:rsidRDefault="005317F4"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4017" w:type="dxa"/>
            <w:vAlign w:val="center"/>
            <w:hideMark/>
          </w:tcPr>
          <w:p w:rsidR="005317F4" w:rsidRPr="002303B4" w:rsidRDefault="005317F4"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1300" w:type="dxa"/>
            <w:vAlign w:val="center"/>
            <w:hideMark/>
          </w:tcPr>
          <w:p w:rsidR="005317F4" w:rsidRPr="002303B4" w:rsidRDefault="005317F4"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r>
      <w:tr w:rsidR="004B26B4" w:rsidRPr="005317F4" w:rsidTr="00C16D4E">
        <w:trPr>
          <w:trHeight w:val="245"/>
        </w:trPr>
        <w:tc>
          <w:tcPr>
            <w:tcW w:w="4878" w:type="dxa"/>
            <w:vAlign w:val="center"/>
            <w:hideMark/>
          </w:tcPr>
          <w:p w:rsidR="005317F4" w:rsidRPr="002303B4" w:rsidRDefault="005317F4"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Chip Cleaners </w:t>
            </w:r>
          </w:p>
        </w:tc>
        <w:tc>
          <w:tcPr>
            <w:tcW w:w="2517" w:type="dxa"/>
            <w:vAlign w:val="center"/>
            <w:hideMark/>
          </w:tcPr>
          <w:p w:rsidR="005317F4" w:rsidRPr="002303B4" w:rsidRDefault="005317F4"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4017" w:type="dxa"/>
            <w:vAlign w:val="center"/>
            <w:hideMark/>
          </w:tcPr>
          <w:p w:rsidR="005317F4" w:rsidRPr="002303B4" w:rsidRDefault="005317F4"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1300" w:type="dxa"/>
            <w:vAlign w:val="center"/>
            <w:hideMark/>
          </w:tcPr>
          <w:p w:rsidR="005317F4" w:rsidRPr="002303B4" w:rsidRDefault="005317F4"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r>
      <w:tr w:rsidR="004B26B4" w:rsidRPr="005317F4" w:rsidTr="00C16D4E">
        <w:trPr>
          <w:trHeight w:val="245"/>
        </w:trPr>
        <w:tc>
          <w:tcPr>
            <w:tcW w:w="4878" w:type="dxa"/>
            <w:vAlign w:val="center"/>
            <w:hideMark/>
          </w:tcPr>
          <w:p w:rsidR="005317F4" w:rsidRPr="002303B4" w:rsidRDefault="005317F4"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Chip Counters </w:t>
            </w:r>
          </w:p>
        </w:tc>
        <w:tc>
          <w:tcPr>
            <w:tcW w:w="2517" w:type="dxa"/>
            <w:vAlign w:val="center"/>
            <w:hideMark/>
          </w:tcPr>
          <w:p w:rsidR="005317F4" w:rsidRPr="002303B4" w:rsidRDefault="005317F4"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4017" w:type="dxa"/>
            <w:vAlign w:val="center"/>
            <w:hideMark/>
          </w:tcPr>
          <w:p w:rsidR="005317F4" w:rsidRPr="002303B4" w:rsidRDefault="005317F4"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1300" w:type="dxa"/>
            <w:vAlign w:val="center"/>
            <w:hideMark/>
          </w:tcPr>
          <w:p w:rsidR="005317F4" w:rsidRPr="002303B4" w:rsidRDefault="005317F4"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r>
      <w:tr w:rsidR="004B26B4" w:rsidRPr="005317F4" w:rsidTr="00C16D4E">
        <w:trPr>
          <w:trHeight w:val="245"/>
        </w:trPr>
        <w:tc>
          <w:tcPr>
            <w:tcW w:w="4878" w:type="dxa"/>
            <w:vAlign w:val="center"/>
            <w:hideMark/>
          </w:tcPr>
          <w:p w:rsidR="005317F4" w:rsidRPr="002303B4" w:rsidRDefault="005317F4"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Chip Sorters </w:t>
            </w:r>
          </w:p>
        </w:tc>
        <w:tc>
          <w:tcPr>
            <w:tcW w:w="2517" w:type="dxa"/>
            <w:vAlign w:val="center"/>
            <w:hideMark/>
          </w:tcPr>
          <w:p w:rsidR="005317F4" w:rsidRPr="002303B4" w:rsidRDefault="005317F4"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4017" w:type="dxa"/>
            <w:vAlign w:val="center"/>
            <w:hideMark/>
          </w:tcPr>
          <w:p w:rsidR="005317F4" w:rsidRPr="002303B4" w:rsidRDefault="005317F4"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1300" w:type="dxa"/>
            <w:vAlign w:val="center"/>
            <w:hideMark/>
          </w:tcPr>
          <w:p w:rsidR="005317F4" w:rsidRPr="002303B4" w:rsidRDefault="00C07A13"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r>
      <w:tr w:rsidR="009F4F07" w:rsidRPr="005317F4" w:rsidTr="00C16D4E">
        <w:trPr>
          <w:trHeight w:val="245"/>
        </w:trPr>
        <w:tc>
          <w:tcPr>
            <w:tcW w:w="4878" w:type="dxa"/>
            <w:vAlign w:val="center"/>
          </w:tcPr>
          <w:p w:rsidR="009F4F07" w:rsidRPr="002303B4" w:rsidRDefault="009F4F07"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Critical Computerized Systems</w:t>
            </w:r>
            <w:r w:rsidRPr="002303B4">
              <w:rPr>
                <w:rFonts w:ascii="Arial" w:eastAsia="Times New Roman" w:hAnsi="Arial" w:cs="Arial"/>
                <w:color w:val="000000"/>
                <w:sz w:val="18"/>
                <w:szCs w:val="18"/>
                <w:vertAlign w:val="superscript"/>
              </w:rPr>
              <w:t>6</w:t>
            </w:r>
          </w:p>
        </w:tc>
        <w:tc>
          <w:tcPr>
            <w:tcW w:w="2517" w:type="dxa"/>
            <w:vAlign w:val="center"/>
          </w:tcPr>
          <w:p w:rsidR="009F4F07" w:rsidRPr="002303B4" w:rsidRDefault="00BD3551"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4017" w:type="dxa"/>
            <w:vAlign w:val="center"/>
          </w:tcPr>
          <w:p w:rsidR="009F4F07" w:rsidRPr="002303B4" w:rsidRDefault="00BD3551"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1300" w:type="dxa"/>
            <w:vAlign w:val="center"/>
          </w:tcPr>
          <w:p w:rsidR="009F4F07" w:rsidRPr="002303B4" w:rsidDel="005317F4" w:rsidRDefault="009F4F07"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r>
      <w:tr w:rsidR="004B26B4" w:rsidRPr="005317F4" w:rsidTr="00C16D4E">
        <w:trPr>
          <w:trHeight w:val="245"/>
        </w:trPr>
        <w:tc>
          <w:tcPr>
            <w:tcW w:w="4878" w:type="dxa"/>
            <w:vAlign w:val="center"/>
            <w:hideMark/>
          </w:tcPr>
          <w:p w:rsidR="005317F4" w:rsidRPr="002303B4" w:rsidRDefault="005317F4"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Currency Counters </w:t>
            </w:r>
          </w:p>
        </w:tc>
        <w:tc>
          <w:tcPr>
            <w:tcW w:w="2517" w:type="dxa"/>
            <w:vAlign w:val="center"/>
            <w:hideMark/>
          </w:tcPr>
          <w:p w:rsidR="005317F4" w:rsidRPr="002303B4" w:rsidRDefault="005317F4"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4017" w:type="dxa"/>
            <w:vAlign w:val="center"/>
            <w:hideMark/>
          </w:tcPr>
          <w:p w:rsidR="005317F4" w:rsidRPr="002303B4" w:rsidRDefault="005317F4"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1300" w:type="dxa"/>
            <w:vAlign w:val="center"/>
            <w:hideMark/>
          </w:tcPr>
          <w:p w:rsidR="005317F4" w:rsidRPr="002303B4" w:rsidRDefault="005317F4"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r>
      <w:tr w:rsidR="004B26B4" w:rsidRPr="005317F4" w:rsidTr="00C16D4E">
        <w:trPr>
          <w:trHeight w:val="245"/>
        </w:trPr>
        <w:tc>
          <w:tcPr>
            <w:tcW w:w="4878" w:type="dxa"/>
            <w:vAlign w:val="center"/>
            <w:hideMark/>
          </w:tcPr>
          <w:p w:rsidR="005317F4" w:rsidRPr="002303B4" w:rsidRDefault="005317F4"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Dealing Shoes </w:t>
            </w:r>
            <w:r w:rsidR="003A4916" w:rsidRPr="002303B4">
              <w:rPr>
                <w:rFonts w:ascii="Arial" w:eastAsia="Times New Roman" w:hAnsi="Arial" w:cs="Arial"/>
                <w:color w:val="000000"/>
                <w:sz w:val="18"/>
                <w:szCs w:val="18"/>
              </w:rPr>
              <w:t>(Manual)</w:t>
            </w:r>
          </w:p>
        </w:tc>
        <w:tc>
          <w:tcPr>
            <w:tcW w:w="2517" w:type="dxa"/>
            <w:vAlign w:val="center"/>
            <w:hideMark/>
          </w:tcPr>
          <w:p w:rsidR="005317F4" w:rsidRPr="002303B4" w:rsidRDefault="005317F4"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4017" w:type="dxa"/>
            <w:vAlign w:val="center"/>
            <w:hideMark/>
          </w:tcPr>
          <w:p w:rsidR="005317F4" w:rsidRPr="002303B4" w:rsidRDefault="005317F4"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1300" w:type="dxa"/>
            <w:vAlign w:val="center"/>
            <w:hideMark/>
          </w:tcPr>
          <w:p w:rsidR="005317F4" w:rsidRPr="002303B4" w:rsidRDefault="005C4495"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r>
      <w:tr w:rsidR="004B26B4" w:rsidRPr="005317F4" w:rsidTr="00C16D4E">
        <w:trPr>
          <w:trHeight w:val="245"/>
        </w:trPr>
        <w:tc>
          <w:tcPr>
            <w:tcW w:w="4878" w:type="dxa"/>
            <w:vAlign w:val="center"/>
          </w:tcPr>
          <w:p w:rsidR="003A4916" w:rsidRPr="002303B4" w:rsidRDefault="003A4916"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Dealing Shoes (</w:t>
            </w:r>
            <w:r w:rsidR="0052118B" w:rsidRPr="002303B4">
              <w:rPr>
                <w:rFonts w:ascii="Arial" w:eastAsia="Times New Roman" w:hAnsi="Arial" w:cs="Arial"/>
                <w:color w:val="000000"/>
                <w:sz w:val="18"/>
                <w:szCs w:val="18"/>
              </w:rPr>
              <w:t>utilizing</w:t>
            </w:r>
            <w:r w:rsidRPr="002303B4">
              <w:rPr>
                <w:rFonts w:ascii="Arial" w:eastAsia="Times New Roman" w:hAnsi="Arial" w:cs="Arial"/>
                <w:color w:val="000000"/>
                <w:sz w:val="18"/>
                <w:szCs w:val="18"/>
              </w:rPr>
              <w:t xml:space="preserve"> electronics)</w:t>
            </w:r>
          </w:p>
        </w:tc>
        <w:tc>
          <w:tcPr>
            <w:tcW w:w="2517" w:type="dxa"/>
            <w:vAlign w:val="center"/>
          </w:tcPr>
          <w:p w:rsidR="003A4916" w:rsidRPr="002303B4" w:rsidRDefault="00107BB5"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4017" w:type="dxa"/>
            <w:vAlign w:val="center"/>
          </w:tcPr>
          <w:p w:rsidR="003A4916" w:rsidRPr="002303B4" w:rsidRDefault="00107BB5"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1300" w:type="dxa"/>
            <w:vAlign w:val="center"/>
          </w:tcPr>
          <w:p w:rsidR="003A4916" w:rsidRPr="002303B4" w:rsidDel="005C4495" w:rsidRDefault="003A4916"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r>
      <w:tr w:rsidR="00C07A13" w:rsidRPr="005317F4" w:rsidTr="00C16D4E">
        <w:trPr>
          <w:trHeight w:val="245"/>
        </w:trPr>
        <w:tc>
          <w:tcPr>
            <w:tcW w:w="4878" w:type="dxa"/>
            <w:vAlign w:val="center"/>
          </w:tcPr>
          <w:p w:rsidR="00C07A13" w:rsidRPr="002303B4" w:rsidRDefault="00C07A13"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Dice</w:t>
            </w:r>
          </w:p>
        </w:tc>
        <w:tc>
          <w:tcPr>
            <w:tcW w:w="2517" w:type="dxa"/>
            <w:vAlign w:val="center"/>
          </w:tcPr>
          <w:p w:rsidR="00C07A13" w:rsidRPr="002303B4" w:rsidRDefault="00107BB5"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4017" w:type="dxa"/>
            <w:vAlign w:val="center"/>
          </w:tcPr>
          <w:p w:rsidR="00C07A13" w:rsidRPr="002303B4" w:rsidRDefault="00107BB5"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1300" w:type="dxa"/>
            <w:vAlign w:val="center"/>
          </w:tcPr>
          <w:p w:rsidR="00C07A13" w:rsidRPr="002303B4" w:rsidRDefault="00C07A13"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r>
      <w:tr w:rsidR="004B26B4" w:rsidRPr="005317F4" w:rsidTr="00C16D4E">
        <w:trPr>
          <w:trHeight w:val="245"/>
        </w:trPr>
        <w:tc>
          <w:tcPr>
            <w:tcW w:w="4878" w:type="dxa"/>
            <w:vAlign w:val="center"/>
            <w:hideMark/>
          </w:tcPr>
          <w:p w:rsidR="005317F4" w:rsidRPr="002303B4" w:rsidRDefault="005317F4"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Display Boards (roulette/table games) </w:t>
            </w:r>
          </w:p>
        </w:tc>
        <w:tc>
          <w:tcPr>
            <w:tcW w:w="2517" w:type="dxa"/>
            <w:vAlign w:val="center"/>
            <w:hideMark/>
          </w:tcPr>
          <w:p w:rsidR="005317F4" w:rsidRPr="002303B4" w:rsidRDefault="005317F4"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4017" w:type="dxa"/>
            <w:vAlign w:val="center"/>
            <w:hideMark/>
          </w:tcPr>
          <w:p w:rsidR="005317F4" w:rsidRPr="002303B4" w:rsidRDefault="005317F4"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1300" w:type="dxa"/>
            <w:vAlign w:val="center"/>
            <w:hideMark/>
          </w:tcPr>
          <w:p w:rsidR="005317F4" w:rsidRPr="002303B4" w:rsidRDefault="005C4495"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r w:rsidR="00961B51" w:rsidRPr="002303B4">
              <w:rPr>
                <w:rFonts w:ascii="Arial" w:eastAsia="Times New Roman" w:hAnsi="Arial" w:cs="Arial"/>
                <w:color w:val="000000"/>
                <w:sz w:val="18"/>
                <w:szCs w:val="18"/>
                <w:vertAlign w:val="superscript"/>
              </w:rPr>
              <w:t>3</w:t>
            </w:r>
          </w:p>
        </w:tc>
      </w:tr>
      <w:tr w:rsidR="004B26B4" w:rsidRPr="005317F4" w:rsidTr="00C16D4E">
        <w:trPr>
          <w:trHeight w:val="245"/>
        </w:trPr>
        <w:tc>
          <w:tcPr>
            <w:tcW w:w="4878" w:type="dxa"/>
            <w:vAlign w:val="center"/>
            <w:hideMark/>
          </w:tcPr>
          <w:p w:rsidR="005317F4" w:rsidRPr="002303B4" w:rsidRDefault="005317F4"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Drop Carts </w:t>
            </w:r>
          </w:p>
        </w:tc>
        <w:tc>
          <w:tcPr>
            <w:tcW w:w="2517" w:type="dxa"/>
            <w:vAlign w:val="center"/>
            <w:hideMark/>
          </w:tcPr>
          <w:p w:rsidR="005317F4" w:rsidRPr="002303B4" w:rsidRDefault="005317F4"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4017" w:type="dxa"/>
            <w:vAlign w:val="center"/>
            <w:hideMark/>
          </w:tcPr>
          <w:p w:rsidR="005317F4" w:rsidRPr="002303B4" w:rsidRDefault="005317F4"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1300" w:type="dxa"/>
            <w:vAlign w:val="center"/>
            <w:hideMark/>
          </w:tcPr>
          <w:p w:rsidR="005317F4" w:rsidRPr="002303B4" w:rsidRDefault="005317F4"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r>
      <w:tr w:rsidR="004B26B4" w:rsidRPr="005317F4" w:rsidTr="00C16D4E">
        <w:trPr>
          <w:trHeight w:val="245"/>
        </w:trPr>
        <w:tc>
          <w:tcPr>
            <w:tcW w:w="4878" w:type="dxa"/>
            <w:vAlign w:val="center"/>
          </w:tcPr>
          <w:p w:rsidR="00E820F6" w:rsidRPr="002303B4" w:rsidRDefault="00E820F6"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Electronic Gaming Devices (EGDs)</w:t>
            </w:r>
            <w:r w:rsidR="00FF0DBC" w:rsidRPr="002303B4">
              <w:rPr>
                <w:rFonts w:ascii="Arial" w:eastAsia="Times New Roman" w:hAnsi="Arial" w:cs="Arial"/>
                <w:color w:val="000000"/>
                <w:sz w:val="18"/>
                <w:szCs w:val="18"/>
              </w:rPr>
              <w:t xml:space="preserve"> (see 432.1102(j))</w:t>
            </w:r>
          </w:p>
        </w:tc>
        <w:tc>
          <w:tcPr>
            <w:tcW w:w="2517" w:type="dxa"/>
            <w:vAlign w:val="center"/>
          </w:tcPr>
          <w:p w:rsidR="00E820F6" w:rsidRPr="002303B4" w:rsidRDefault="00E820F6"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4017" w:type="dxa"/>
            <w:vAlign w:val="center"/>
          </w:tcPr>
          <w:p w:rsidR="00E820F6" w:rsidRPr="002303B4" w:rsidRDefault="00E820F6"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1300" w:type="dxa"/>
            <w:vAlign w:val="center"/>
          </w:tcPr>
          <w:p w:rsidR="00E820F6" w:rsidRPr="002303B4" w:rsidRDefault="00E820F6"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r>
      <w:tr w:rsidR="004B26B4" w:rsidRPr="005317F4" w:rsidTr="00C16D4E">
        <w:trPr>
          <w:trHeight w:val="245"/>
        </w:trPr>
        <w:tc>
          <w:tcPr>
            <w:tcW w:w="4878" w:type="dxa"/>
            <w:vAlign w:val="center"/>
          </w:tcPr>
          <w:p w:rsidR="00E820F6" w:rsidRPr="002303B4" w:rsidRDefault="00E820F6"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EGD Bill Acceptors</w:t>
            </w:r>
          </w:p>
        </w:tc>
        <w:tc>
          <w:tcPr>
            <w:tcW w:w="2517" w:type="dxa"/>
            <w:vAlign w:val="center"/>
          </w:tcPr>
          <w:p w:rsidR="00E820F6" w:rsidRPr="002303B4" w:rsidRDefault="00107BB5"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4017" w:type="dxa"/>
            <w:vAlign w:val="center"/>
          </w:tcPr>
          <w:p w:rsidR="00E820F6" w:rsidRPr="002303B4" w:rsidRDefault="00107BB5"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1300" w:type="dxa"/>
            <w:vAlign w:val="center"/>
          </w:tcPr>
          <w:p w:rsidR="00E820F6" w:rsidRPr="002303B4" w:rsidRDefault="00E820F6"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r>
      <w:tr w:rsidR="004B26B4" w:rsidRPr="005317F4" w:rsidTr="00C16D4E">
        <w:trPr>
          <w:trHeight w:val="245"/>
        </w:trPr>
        <w:tc>
          <w:tcPr>
            <w:tcW w:w="4878" w:type="dxa"/>
            <w:vAlign w:val="center"/>
          </w:tcPr>
          <w:p w:rsidR="00E820F6" w:rsidRPr="002303B4" w:rsidRDefault="00E820F6"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EGD Bill Acceptor Software Upgrades</w:t>
            </w:r>
          </w:p>
        </w:tc>
        <w:tc>
          <w:tcPr>
            <w:tcW w:w="2517" w:type="dxa"/>
            <w:vAlign w:val="center"/>
          </w:tcPr>
          <w:p w:rsidR="00E820F6" w:rsidRPr="002303B4" w:rsidRDefault="00107BB5"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4017" w:type="dxa"/>
            <w:vAlign w:val="center"/>
          </w:tcPr>
          <w:p w:rsidR="00E820F6" w:rsidRPr="002303B4" w:rsidRDefault="00107BB5"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1300" w:type="dxa"/>
            <w:vAlign w:val="center"/>
          </w:tcPr>
          <w:p w:rsidR="00E820F6" w:rsidRPr="002303B4" w:rsidRDefault="00E820F6"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r w:rsidR="006B3E9A" w:rsidRPr="002303B4">
              <w:rPr>
                <w:rFonts w:ascii="Arial" w:eastAsia="Times New Roman" w:hAnsi="Arial" w:cs="Arial"/>
                <w:color w:val="000000"/>
                <w:sz w:val="18"/>
                <w:szCs w:val="18"/>
              </w:rPr>
              <w:t xml:space="preserve"> (VAR)</w:t>
            </w:r>
          </w:p>
        </w:tc>
      </w:tr>
      <w:tr w:rsidR="004B26B4" w:rsidRPr="005317F4" w:rsidTr="00C16D4E">
        <w:trPr>
          <w:trHeight w:val="245"/>
        </w:trPr>
        <w:tc>
          <w:tcPr>
            <w:tcW w:w="4878" w:type="dxa"/>
            <w:vAlign w:val="center"/>
          </w:tcPr>
          <w:p w:rsidR="00E820F6" w:rsidRPr="002303B4" w:rsidRDefault="00E820F6"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EGD Software Upgrades</w:t>
            </w:r>
          </w:p>
        </w:tc>
        <w:tc>
          <w:tcPr>
            <w:tcW w:w="2517" w:type="dxa"/>
            <w:vAlign w:val="center"/>
          </w:tcPr>
          <w:p w:rsidR="00E820F6" w:rsidRPr="002303B4" w:rsidRDefault="00E820F6"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4017" w:type="dxa"/>
            <w:vAlign w:val="center"/>
          </w:tcPr>
          <w:p w:rsidR="00E820F6" w:rsidRPr="002303B4" w:rsidRDefault="00E820F6"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1300" w:type="dxa"/>
            <w:vAlign w:val="center"/>
          </w:tcPr>
          <w:p w:rsidR="00E820F6" w:rsidRPr="002303B4" w:rsidRDefault="00E820F6"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r>
      <w:tr w:rsidR="004B26B4" w:rsidRPr="005317F4" w:rsidTr="00C16D4E">
        <w:trPr>
          <w:trHeight w:val="245"/>
        </w:trPr>
        <w:tc>
          <w:tcPr>
            <w:tcW w:w="4878" w:type="dxa"/>
            <w:vAlign w:val="center"/>
          </w:tcPr>
          <w:p w:rsidR="006B3E9A" w:rsidRPr="002303B4" w:rsidRDefault="006B3E9A"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EGD Ticket Voucher Printers (TITO)</w:t>
            </w:r>
          </w:p>
        </w:tc>
        <w:tc>
          <w:tcPr>
            <w:tcW w:w="2517" w:type="dxa"/>
            <w:vAlign w:val="center"/>
          </w:tcPr>
          <w:p w:rsidR="006B3E9A" w:rsidRPr="002303B4" w:rsidRDefault="00107BB5"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4017" w:type="dxa"/>
            <w:vAlign w:val="center"/>
          </w:tcPr>
          <w:p w:rsidR="006B3E9A" w:rsidRPr="002303B4" w:rsidRDefault="00107BB5"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1300" w:type="dxa"/>
            <w:vAlign w:val="center"/>
          </w:tcPr>
          <w:p w:rsidR="006B3E9A"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r>
      <w:tr w:rsidR="004B26B4" w:rsidRPr="005317F4" w:rsidTr="00C16D4E">
        <w:trPr>
          <w:trHeight w:val="245"/>
        </w:trPr>
        <w:tc>
          <w:tcPr>
            <w:tcW w:w="4878" w:type="dxa"/>
            <w:vAlign w:val="center"/>
          </w:tcPr>
          <w:p w:rsidR="006B3E9A" w:rsidRPr="002303B4" w:rsidRDefault="006B3E9A"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EGD TITO Software Upgrades</w:t>
            </w:r>
          </w:p>
        </w:tc>
        <w:tc>
          <w:tcPr>
            <w:tcW w:w="2517" w:type="dxa"/>
            <w:vAlign w:val="center"/>
          </w:tcPr>
          <w:p w:rsidR="006B3E9A" w:rsidRPr="002303B4" w:rsidRDefault="00107BB5"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4017" w:type="dxa"/>
            <w:vAlign w:val="center"/>
          </w:tcPr>
          <w:p w:rsidR="006B3E9A" w:rsidRPr="002303B4" w:rsidRDefault="00107BB5"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1300" w:type="dxa"/>
            <w:vAlign w:val="center"/>
          </w:tcPr>
          <w:p w:rsidR="006B3E9A"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r w:rsidR="00B8491C" w:rsidRPr="002303B4">
              <w:rPr>
                <w:rFonts w:ascii="Arial" w:eastAsia="Times New Roman" w:hAnsi="Arial" w:cs="Arial"/>
                <w:color w:val="000000"/>
                <w:sz w:val="18"/>
                <w:szCs w:val="18"/>
              </w:rPr>
              <w:t xml:space="preserve"> (VAR)</w:t>
            </w:r>
          </w:p>
        </w:tc>
      </w:tr>
      <w:tr w:rsidR="004B26B4" w:rsidRPr="005317F4" w:rsidTr="00C16D4E">
        <w:trPr>
          <w:trHeight w:val="245"/>
        </w:trPr>
        <w:tc>
          <w:tcPr>
            <w:tcW w:w="4878" w:type="dxa"/>
            <w:vAlign w:val="center"/>
          </w:tcPr>
          <w:p w:rsidR="006B3E9A" w:rsidRPr="002303B4" w:rsidRDefault="006B3E9A"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Gaming Chips (Value &amp; Non-Value)</w:t>
            </w:r>
          </w:p>
        </w:tc>
        <w:tc>
          <w:tcPr>
            <w:tcW w:w="2517" w:type="dxa"/>
            <w:vAlign w:val="center"/>
          </w:tcPr>
          <w:p w:rsidR="006B3E9A" w:rsidRPr="002303B4" w:rsidRDefault="00107BB5"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4017" w:type="dxa"/>
            <w:vAlign w:val="center"/>
          </w:tcPr>
          <w:p w:rsidR="006B3E9A" w:rsidRPr="002303B4" w:rsidRDefault="00107BB5"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1300" w:type="dxa"/>
            <w:vAlign w:val="center"/>
          </w:tcPr>
          <w:p w:rsidR="006B3E9A"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r w:rsidRPr="002303B4">
              <w:rPr>
                <w:rFonts w:ascii="Arial" w:eastAsia="Times New Roman" w:hAnsi="Arial" w:cs="Arial"/>
                <w:color w:val="000000"/>
                <w:sz w:val="18"/>
                <w:szCs w:val="18"/>
                <w:vertAlign w:val="superscript"/>
              </w:rPr>
              <w:t>5</w:t>
            </w:r>
          </w:p>
        </w:tc>
      </w:tr>
      <w:tr w:rsidR="004B26B4" w:rsidRPr="005317F4" w:rsidTr="00C16D4E">
        <w:trPr>
          <w:trHeight w:val="245"/>
        </w:trPr>
        <w:tc>
          <w:tcPr>
            <w:tcW w:w="4878" w:type="dxa"/>
            <w:vAlign w:val="center"/>
            <w:hideMark/>
          </w:tcPr>
          <w:p w:rsidR="005317F4" w:rsidRPr="002303B4" w:rsidRDefault="006B3E9A"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Gaming Chip Holder </w:t>
            </w:r>
          </w:p>
        </w:tc>
        <w:tc>
          <w:tcPr>
            <w:tcW w:w="2517" w:type="dxa"/>
            <w:vAlign w:val="center"/>
            <w:hideMark/>
          </w:tcPr>
          <w:p w:rsidR="005317F4"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4017" w:type="dxa"/>
            <w:vAlign w:val="center"/>
            <w:hideMark/>
          </w:tcPr>
          <w:p w:rsidR="005317F4"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1300" w:type="dxa"/>
            <w:vAlign w:val="center"/>
            <w:hideMark/>
          </w:tcPr>
          <w:p w:rsidR="005317F4"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r>
      <w:tr w:rsidR="004B26B4" w:rsidRPr="005317F4" w:rsidTr="00C16D4E">
        <w:trPr>
          <w:trHeight w:val="245"/>
        </w:trPr>
        <w:tc>
          <w:tcPr>
            <w:tcW w:w="4878" w:type="dxa"/>
            <w:vAlign w:val="center"/>
            <w:hideMark/>
          </w:tcPr>
          <w:p w:rsidR="005317F4" w:rsidRPr="002303B4" w:rsidRDefault="006B3E9A"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Gaming Signage </w:t>
            </w:r>
          </w:p>
        </w:tc>
        <w:tc>
          <w:tcPr>
            <w:tcW w:w="2517" w:type="dxa"/>
            <w:vAlign w:val="center"/>
            <w:hideMark/>
          </w:tcPr>
          <w:p w:rsidR="005317F4"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4017" w:type="dxa"/>
            <w:vAlign w:val="center"/>
            <w:hideMark/>
          </w:tcPr>
          <w:p w:rsidR="005317F4"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1300" w:type="dxa"/>
            <w:vAlign w:val="center"/>
            <w:hideMark/>
          </w:tcPr>
          <w:p w:rsidR="005317F4"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r>
      <w:tr w:rsidR="004B26B4" w:rsidRPr="005317F4" w:rsidTr="00C16D4E">
        <w:trPr>
          <w:trHeight w:val="245"/>
        </w:trPr>
        <w:tc>
          <w:tcPr>
            <w:tcW w:w="4878" w:type="dxa"/>
            <w:vAlign w:val="center"/>
            <w:hideMark/>
          </w:tcPr>
          <w:p w:rsidR="005317F4" w:rsidRPr="002303B4" w:rsidRDefault="006B3E9A"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 xml:space="preserve">Modems (remote </w:t>
            </w:r>
            <w:r w:rsidR="00E65507" w:rsidRPr="002303B4">
              <w:rPr>
                <w:rFonts w:ascii="Arial" w:eastAsia="Times New Roman" w:hAnsi="Arial" w:cs="Arial"/>
                <w:color w:val="000000"/>
                <w:sz w:val="18"/>
                <w:szCs w:val="18"/>
              </w:rPr>
              <w:t xml:space="preserve">access </w:t>
            </w:r>
            <w:r w:rsidRPr="002303B4">
              <w:rPr>
                <w:rFonts w:ascii="Arial" w:eastAsia="Times New Roman" w:hAnsi="Arial" w:cs="Arial"/>
                <w:color w:val="000000"/>
                <w:sz w:val="18"/>
                <w:szCs w:val="18"/>
              </w:rPr>
              <w:t>to any associated equipment) </w:t>
            </w:r>
          </w:p>
        </w:tc>
        <w:tc>
          <w:tcPr>
            <w:tcW w:w="2517" w:type="dxa"/>
            <w:vAlign w:val="center"/>
            <w:hideMark/>
          </w:tcPr>
          <w:p w:rsidR="005317F4"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4017" w:type="dxa"/>
            <w:vAlign w:val="center"/>
            <w:hideMark/>
          </w:tcPr>
          <w:p w:rsidR="005317F4"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1300" w:type="dxa"/>
            <w:vAlign w:val="center"/>
            <w:hideMark/>
          </w:tcPr>
          <w:p w:rsidR="005317F4"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r>
      <w:tr w:rsidR="00C07A13" w:rsidRPr="005317F4" w:rsidTr="00C16D4E">
        <w:trPr>
          <w:trHeight w:val="245"/>
        </w:trPr>
        <w:tc>
          <w:tcPr>
            <w:tcW w:w="4878" w:type="dxa"/>
            <w:vAlign w:val="center"/>
          </w:tcPr>
          <w:p w:rsidR="00C07A13" w:rsidRPr="002303B4" w:rsidRDefault="00C07A13"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Playing Cards</w:t>
            </w:r>
          </w:p>
        </w:tc>
        <w:tc>
          <w:tcPr>
            <w:tcW w:w="2517" w:type="dxa"/>
            <w:vAlign w:val="center"/>
          </w:tcPr>
          <w:p w:rsidR="00C07A13" w:rsidRPr="002303B4" w:rsidRDefault="00107BB5"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4017" w:type="dxa"/>
            <w:vAlign w:val="center"/>
          </w:tcPr>
          <w:p w:rsidR="00C07A13" w:rsidRPr="002303B4" w:rsidRDefault="00107BB5"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1300" w:type="dxa"/>
            <w:vAlign w:val="center"/>
          </w:tcPr>
          <w:p w:rsidR="00C07A13" w:rsidRPr="002303B4" w:rsidRDefault="00C07A13"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r>
      <w:tr w:rsidR="004B26B4" w:rsidRPr="005317F4" w:rsidTr="00C16D4E">
        <w:trPr>
          <w:trHeight w:val="245"/>
        </w:trPr>
        <w:tc>
          <w:tcPr>
            <w:tcW w:w="4878" w:type="dxa"/>
            <w:vAlign w:val="center"/>
            <w:hideMark/>
          </w:tcPr>
          <w:p w:rsidR="005317F4" w:rsidRPr="002303B4" w:rsidRDefault="006B3E9A"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Playing Card Scanners </w:t>
            </w:r>
          </w:p>
        </w:tc>
        <w:tc>
          <w:tcPr>
            <w:tcW w:w="2517" w:type="dxa"/>
            <w:vAlign w:val="center"/>
            <w:hideMark/>
          </w:tcPr>
          <w:p w:rsidR="005317F4"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4017" w:type="dxa"/>
            <w:vAlign w:val="center"/>
            <w:hideMark/>
          </w:tcPr>
          <w:p w:rsidR="005317F4"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1300" w:type="dxa"/>
            <w:vAlign w:val="center"/>
            <w:hideMark/>
          </w:tcPr>
          <w:p w:rsidR="005317F4"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r>
      <w:tr w:rsidR="004B26B4" w:rsidRPr="005317F4" w:rsidTr="00C16D4E">
        <w:trPr>
          <w:trHeight w:val="245"/>
        </w:trPr>
        <w:tc>
          <w:tcPr>
            <w:tcW w:w="4878" w:type="dxa"/>
            <w:vAlign w:val="center"/>
            <w:hideMark/>
          </w:tcPr>
          <w:p w:rsidR="005317F4" w:rsidRPr="002303B4" w:rsidRDefault="006B3E9A"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Progressive Controllers &amp; Systems </w:t>
            </w:r>
          </w:p>
        </w:tc>
        <w:tc>
          <w:tcPr>
            <w:tcW w:w="2517" w:type="dxa"/>
            <w:vAlign w:val="center"/>
            <w:hideMark/>
          </w:tcPr>
          <w:p w:rsidR="005317F4"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4017" w:type="dxa"/>
            <w:vAlign w:val="center"/>
            <w:hideMark/>
          </w:tcPr>
          <w:p w:rsidR="005317F4"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1300" w:type="dxa"/>
            <w:vAlign w:val="center"/>
            <w:hideMark/>
          </w:tcPr>
          <w:p w:rsidR="005317F4"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r>
      <w:tr w:rsidR="0052118B" w:rsidRPr="005317F4" w:rsidTr="00C16D4E">
        <w:trPr>
          <w:trHeight w:val="245"/>
        </w:trPr>
        <w:tc>
          <w:tcPr>
            <w:tcW w:w="4878" w:type="dxa"/>
            <w:vAlign w:val="center"/>
          </w:tcPr>
          <w:p w:rsidR="0052118B" w:rsidRPr="002303B4" w:rsidRDefault="0052118B"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RAM Clear Chips</w:t>
            </w:r>
          </w:p>
        </w:tc>
        <w:tc>
          <w:tcPr>
            <w:tcW w:w="2517" w:type="dxa"/>
            <w:vAlign w:val="center"/>
          </w:tcPr>
          <w:p w:rsidR="0052118B" w:rsidRPr="002303B4" w:rsidRDefault="0052118B"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4017" w:type="dxa"/>
            <w:vAlign w:val="center"/>
          </w:tcPr>
          <w:p w:rsidR="0052118B" w:rsidRPr="002303B4" w:rsidRDefault="0052118B"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1300" w:type="dxa"/>
            <w:vAlign w:val="center"/>
          </w:tcPr>
          <w:p w:rsidR="0052118B" w:rsidRPr="002303B4" w:rsidRDefault="0052118B"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 (VAR)</w:t>
            </w:r>
          </w:p>
        </w:tc>
      </w:tr>
      <w:tr w:rsidR="004B26B4" w:rsidRPr="005317F4" w:rsidTr="00C16D4E">
        <w:trPr>
          <w:trHeight w:val="245"/>
        </w:trPr>
        <w:tc>
          <w:tcPr>
            <w:tcW w:w="4878" w:type="dxa"/>
            <w:vAlign w:val="center"/>
            <w:hideMark/>
          </w:tcPr>
          <w:p w:rsidR="005317F4" w:rsidRPr="002303B4" w:rsidRDefault="006B3E9A"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Reel Strips </w:t>
            </w:r>
          </w:p>
        </w:tc>
        <w:tc>
          <w:tcPr>
            <w:tcW w:w="2517" w:type="dxa"/>
            <w:vAlign w:val="center"/>
            <w:hideMark/>
          </w:tcPr>
          <w:p w:rsidR="005317F4"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4017" w:type="dxa"/>
            <w:vAlign w:val="center"/>
            <w:hideMark/>
          </w:tcPr>
          <w:p w:rsidR="005317F4"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1300" w:type="dxa"/>
            <w:vAlign w:val="center"/>
            <w:hideMark/>
          </w:tcPr>
          <w:p w:rsidR="005317F4"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r>
      <w:tr w:rsidR="00C07A13" w:rsidRPr="005317F4" w:rsidTr="00C16D4E">
        <w:trPr>
          <w:trHeight w:val="245"/>
        </w:trPr>
        <w:tc>
          <w:tcPr>
            <w:tcW w:w="4878" w:type="dxa"/>
            <w:vAlign w:val="center"/>
          </w:tcPr>
          <w:p w:rsidR="00C07A13" w:rsidRPr="002303B4" w:rsidRDefault="00C07A13"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Roulette Wheel (Manual)</w:t>
            </w:r>
          </w:p>
        </w:tc>
        <w:tc>
          <w:tcPr>
            <w:tcW w:w="2517" w:type="dxa"/>
            <w:vAlign w:val="center"/>
          </w:tcPr>
          <w:p w:rsidR="00C07A13" w:rsidRPr="002303B4" w:rsidRDefault="00107BB5"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4017" w:type="dxa"/>
            <w:vAlign w:val="center"/>
          </w:tcPr>
          <w:p w:rsidR="00C07A13" w:rsidRPr="002303B4" w:rsidRDefault="00107BB5"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1300" w:type="dxa"/>
            <w:vAlign w:val="center"/>
          </w:tcPr>
          <w:p w:rsidR="00C07A13" w:rsidRPr="002303B4" w:rsidRDefault="00C07A13"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r>
      <w:tr w:rsidR="00C07A13" w:rsidRPr="005317F4" w:rsidTr="00C16D4E">
        <w:trPr>
          <w:trHeight w:val="245"/>
        </w:trPr>
        <w:tc>
          <w:tcPr>
            <w:tcW w:w="4878" w:type="dxa"/>
            <w:vAlign w:val="center"/>
          </w:tcPr>
          <w:p w:rsidR="00C07A13" w:rsidRPr="002303B4" w:rsidRDefault="00C07A13"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Roulette Wheel (Automated)</w:t>
            </w:r>
          </w:p>
        </w:tc>
        <w:tc>
          <w:tcPr>
            <w:tcW w:w="2517" w:type="dxa"/>
            <w:vAlign w:val="center"/>
          </w:tcPr>
          <w:p w:rsidR="00C07A13" w:rsidRPr="002303B4" w:rsidRDefault="00107BB5"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4017" w:type="dxa"/>
            <w:vAlign w:val="center"/>
          </w:tcPr>
          <w:p w:rsidR="00C07A13" w:rsidRPr="002303B4" w:rsidRDefault="00107BB5"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1300" w:type="dxa"/>
            <w:vAlign w:val="center"/>
          </w:tcPr>
          <w:p w:rsidR="00C07A13" w:rsidRPr="002303B4" w:rsidRDefault="00C07A13"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r>
      <w:tr w:rsidR="004B26B4" w:rsidRPr="005317F4" w:rsidTr="00C16D4E">
        <w:trPr>
          <w:trHeight w:val="245"/>
        </w:trPr>
        <w:tc>
          <w:tcPr>
            <w:tcW w:w="4878" w:type="dxa"/>
            <w:vAlign w:val="center"/>
            <w:hideMark/>
          </w:tcPr>
          <w:p w:rsidR="005317F4" w:rsidRPr="002303B4" w:rsidRDefault="006B3E9A"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Shakers (Dice/Sic bo/Pai gow) </w:t>
            </w:r>
          </w:p>
        </w:tc>
        <w:tc>
          <w:tcPr>
            <w:tcW w:w="2517" w:type="dxa"/>
            <w:vAlign w:val="center"/>
            <w:hideMark/>
          </w:tcPr>
          <w:p w:rsidR="005317F4"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4017" w:type="dxa"/>
            <w:vAlign w:val="center"/>
            <w:hideMark/>
          </w:tcPr>
          <w:p w:rsidR="005317F4"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1300" w:type="dxa"/>
            <w:vAlign w:val="center"/>
            <w:hideMark/>
          </w:tcPr>
          <w:p w:rsidR="005317F4"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r>
      <w:tr w:rsidR="004B26B4" w:rsidRPr="005317F4" w:rsidTr="00C16D4E">
        <w:trPr>
          <w:trHeight w:val="245"/>
        </w:trPr>
        <w:tc>
          <w:tcPr>
            <w:tcW w:w="4878" w:type="dxa"/>
            <w:vAlign w:val="center"/>
            <w:hideMark/>
          </w:tcPr>
          <w:p w:rsidR="005317F4" w:rsidRPr="002303B4" w:rsidRDefault="006B3E9A"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Slot Bases </w:t>
            </w:r>
          </w:p>
        </w:tc>
        <w:tc>
          <w:tcPr>
            <w:tcW w:w="2517" w:type="dxa"/>
            <w:vAlign w:val="center"/>
            <w:hideMark/>
          </w:tcPr>
          <w:p w:rsidR="005317F4"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4017" w:type="dxa"/>
            <w:vAlign w:val="center"/>
            <w:hideMark/>
          </w:tcPr>
          <w:p w:rsidR="005317F4"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1300" w:type="dxa"/>
            <w:vAlign w:val="center"/>
            <w:hideMark/>
          </w:tcPr>
          <w:p w:rsidR="005317F4"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r>
      <w:tr w:rsidR="004B26B4" w:rsidRPr="005317F4" w:rsidTr="00C16D4E">
        <w:trPr>
          <w:trHeight w:val="245"/>
        </w:trPr>
        <w:tc>
          <w:tcPr>
            <w:tcW w:w="4878" w:type="dxa"/>
            <w:vAlign w:val="center"/>
            <w:hideMark/>
          </w:tcPr>
          <w:p w:rsidR="005317F4" w:rsidRPr="002303B4" w:rsidRDefault="006B3E9A"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Smart Cards, Card Readers &amp; System </w:t>
            </w:r>
          </w:p>
        </w:tc>
        <w:tc>
          <w:tcPr>
            <w:tcW w:w="2517" w:type="dxa"/>
            <w:vAlign w:val="center"/>
            <w:hideMark/>
          </w:tcPr>
          <w:p w:rsidR="005317F4"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4017" w:type="dxa"/>
            <w:vAlign w:val="center"/>
            <w:hideMark/>
          </w:tcPr>
          <w:p w:rsidR="005317F4"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1300" w:type="dxa"/>
            <w:vAlign w:val="center"/>
            <w:hideMark/>
          </w:tcPr>
          <w:p w:rsidR="005317F4"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r>
      <w:tr w:rsidR="004B26B4" w:rsidRPr="005317F4" w:rsidTr="00C16D4E">
        <w:trPr>
          <w:trHeight w:val="245"/>
        </w:trPr>
        <w:tc>
          <w:tcPr>
            <w:tcW w:w="4878" w:type="dxa"/>
            <w:vAlign w:val="center"/>
            <w:hideMark/>
          </w:tcPr>
          <w:p w:rsidR="005317F4" w:rsidRPr="002303B4" w:rsidRDefault="006B3E9A"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Table Games </w:t>
            </w:r>
          </w:p>
        </w:tc>
        <w:tc>
          <w:tcPr>
            <w:tcW w:w="2517" w:type="dxa"/>
            <w:vAlign w:val="center"/>
            <w:hideMark/>
          </w:tcPr>
          <w:p w:rsidR="005317F4"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4017" w:type="dxa"/>
            <w:vAlign w:val="center"/>
            <w:hideMark/>
          </w:tcPr>
          <w:p w:rsidR="005317F4"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1300" w:type="dxa"/>
            <w:vAlign w:val="center"/>
            <w:hideMark/>
          </w:tcPr>
          <w:p w:rsidR="005317F4"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r w:rsidRPr="002303B4">
              <w:rPr>
                <w:rFonts w:ascii="Arial" w:eastAsia="Times New Roman" w:hAnsi="Arial" w:cs="Arial"/>
                <w:color w:val="000000"/>
                <w:sz w:val="18"/>
                <w:szCs w:val="18"/>
                <w:vertAlign w:val="superscript"/>
              </w:rPr>
              <w:t>4</w:t>
            </w:r>
          </w:p>
        </w:tc>
      </w:tr>
      <w:tr w:rsidR="004B26B4" w:rsidRPr="005317F4" w:rsidTr="00C16D4E">
        <w:trPr>
          <w:trHeight w:val="245"/>
        </w:trPr>
        <w:tc>
          <w:tcPr>
            <w:tcW w:w="4878" w:type="dxa"/>
            <w:vAlign w:val="center"/>
          </w:tcPr>
          <w:p w:rsidR="006B3E9A" w:rsidRPr="002303B4" w:rsidRDefault="006B3E9A"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Table Games – Automated or Electronic</w:t>
            </w:r>
          </w:p>
        </w:tc>
        <w:tc>
          <w:tcPr>
            <w:tcW w:w="2517" w:type="dxa"/>
            <w:vAlign w:val="center"/>
          </w:tcPr>
          <w:p w:rsidR="006B3E9A" w:rsidRPr="002303B4" w:rsidRDefault="00107BB5"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4017" w:type="dxa"/>
            <w:vAlign w:val="center"/>
          </w:tcPr>
          <w:p w:rsidR="006B3E9A" w:rsidRPr="002303B4" w:rsidRDefault="00107BB5"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1300" w:type="dxa"/>
            <w:vAlign w:val="center"/>
          </w:tcPr>
          <w:p w:rsidR="006B3E9A"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r>
      <w:tr w:rsidR="004B26B4" w:rsidRPr="005317F4" w:rsidTr="00C16D4E">
        <w:trPr>
          <w:trHeight w:val="245"/>
        </w:trPr>
        <w:tc>
          <w:tcPr>
            <w:tcW w:w="4878" w:type="dxa"/>
            <w:vAlign w:val="center"/>
          </w:tcPr>
          <w:p w:rsidR="006B3E9A" w:rsidRPr="002303B4" w:rsidRDefault="006B3E9A"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Table Games Electronic Side Wager</w:t>
            </w:r>
            <w:r w:rsidR="00BD3551" w:rsidRPr="002303B4">
              <w:rPr>
                <w:rFonts w:ascii="Arial" w:eastAsia="Times New Roman" w:hAnsi="Arial" w:cs="Arial"/>
                <w:color w:val="000000"/>
                <w:sz w:val="18"/>
                <w:szCs w:val="18"/>
              </w:rPr>
              <w:t xml:space="preserve"> Equipment</w:t>
            </w:r>
          </w:p>
        </w:tc>
        <w:tc>
          <w:tcPr>
            <w:tcW w:w="2517" w:type="dxa"/>
            <w:vAlign w:val="center"/>
          </w:tcPr>
          <w:p w:rsidR="006B3E9A" w:rsidRPr="002303B4" w:rsidRDefault="00107BB5"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4017" w:type="dxa"/>
            <w:vAlign w:val="center"/>
          </w:tcPr>
          <w:p w:rsidR="006B3E9A" w:rsidRPr="002303B4" w:rsidRDefault="00107BB5"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1300" w:type="dxa"/>
            <w:vAlign w:val="center"/>
          </w:tcPr>
          <w:p w:rsidR="006B3E9A"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r>
      <w:tr w:rsidR="004B26B4" w:rsidRPr="005317F4" w:rsidTr="00C16D4E">
        <w:trPr>
          <w:trHeight w:val="245"/>
        </w:trPr>
        <w:tc>
          <w:tcPr>
            <w:tcW w:w="4878" w:type="dxa"/>
            <w:vAlign w:val="center"/>
            <w:hideMark/>
          </w:tcPr>
          <w:p w:rsidR="005317F4" w:rsidRPr="002303B4" w:rsidRDefault="006B3E9A" w:rsidP="008517AE">
            <w:pPr>
              <w:spacing w:before="100" w:beforeAutospacing="1" w:after="100" w:afterAutospacing="1"/>
              <w:rPr>
                <w:rFonts w:ascii="Arial" w:eastAsia="Times New Roman" w:hAnsi="Arial" w:cs="Arial"/>
                <w:color w:val="000000"/>
                <w:sz w:val="18"/>
                <w:szCs w:val="18"/>
              </w:rPr>
            </w:pPr>
            <w:r w:rsidRPr="002303B4">
              <w:rPr>
                <w:rFonts w:ascii="Arial" w:eastAsia="Times New Roman" w:hAnsi="Arial" w:cs="Arial"/>
                <w:color w:val="000000"/>
                <w:sz w:val="18"/>
                <w:szCs w:val="18"/>
              </w:rPr>
              <w:t>Wide Area Progressive system (R 432.1108(d)) </w:t>
            </w:r>
          </w:p>
        </w:tc>
        <w:tc>
          <w:tcPr>
            <w:tcW w:w="2517" w:type="dxa"/>
            <w:vAlign w:val="center"/>
            <w:hideMark/>
          </w:tcPr>
          <w:p w:rsidR="005317F4"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c>
          <w:tcPr>
            <w:tcW w:w="4017" w:type="dxa"/>
            <w:vAlign w:val="center"/>
            <w:hideMark/>
          </w:tcPr>
          <w:p w:rsidR="005317F4"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N</w:t>
            </w:r>
          </w:p>
        </w:tc>
        <w:tc>
          <w:tcPr>
            <w:tcW w:w="1300" w:type="dxa"/>
            <w:vAlign w:val="center"/>
            <w:hideMark/>
          </w:tcPr>
          <w:p w:rsidR="005317F4" w:rsidRPr="002303B4" w:rsidRDefault="006B3E9A" w:rsidP="008517AE">
            <w:pPr>
              <w:spacing w:before="100" w:beforeAutospacing="1" w:after="100" w:afterAutospacing="1"/>
              <w:jc w:val="center"/>
              <w:rPr>
                <w:rFonts w:ascii="Arial" w:eastAsia="Times New Roman" w:hAnsi="Arial" w:cs="Arial"/>
                <w:color w:val="000000"/>
                <w:sz w:val="18"/>
                <w:szCs w:val="18"/>
              </w:rPr>
            </w:pPr>
            <w:r w:rsidRPr="002303B4">
              <w:rPr>
                <w:rFonts w:ascii="Arial" w:eastAsia="Times New Roman" w:hAnsi="Arial" w:cs="Arial"/>
                <w:color w:val="000000"/>
                <w:sz w:val="18"/>
                <w:szCs w:val="18"/>
              </w:rPr>
              <w:t>Y</w:t>
            </w:r>
          </w:p>
        </w:tc>
      </w:tr>
    </w:tbl>
    <w:p w:rsidR="008517AE" w:rsidRDefault="008517AE" w:rsidP="00AE05CD">
      <w:pPr>
        <w:pStyle w:val="NormalWeb"/>
        <w:spacing w:before="0" w:beforeAutospacing="0" w:after="0" w:afterAutospacing="0"/>
        <w:rPr>
          <w:sz w:val="16"/>
          <w:szCs w:val="16"/>
          <w:vertAlign w:val="superscript"/>
        </w:rPr>
        <w:sectPr w:rsidR="008517AE" w:rsidSect="008517AE">
          <w:pgSz w:w="15840" w:h="12240" w:orient="landscape"/>
          <w:pgMar w:top="187" w:right="1440" w:bottom="230" w:left="1440" w:header="720" w:footer="720" w:gutter="0"/>
          <w:cols w:space="720"/>
          <w:docGrid w:linePitch="360"/>
        </w:sectPr>
      </w:pPr>
    </w:p>
    <w:p w:rsidR="006F0C6C" w:rsidRPr="002303B4" w:rsidRDefault="006F0C6C" w:rsidP="00AE05CD">
      <w:pPr>
        <w:pStyle w:val="NormalWeb"/>
        <w:spacing w:before="0" w:beforeAutospacing="0" w:after="0" w:afterAutospacing="0"/>
        <w:rPr>
          <w:sz w:val="20"/>
          <w:szCs w:val="20"/>
          <w:vertAlign w:val="superscript"/>
        </w:rPr>
      </w:pPr>
    </w:p>
    <w:p w:rsidR="005317F4" w:rsidRPr="002303B4" w:rsidRDefault="00107E60" w:rsidP="00AE05CD">
      <w:pPr>
        <w:pStyle w:val="NormalWeb"/>
        <w:spacing w:before="0" w:beforeAutospacing="0" w:after="0" w:afterAutospacing="0"/>
        <w:rPr>
          <w:sz w:val="20"/>
          <w:szCs w:val="20"/>
        </w:rPr>
      </w:pPr>
      <w:r w:rsidRPr="002303B4">
        <w:rPr>
          <w:sz w:val="20"/>
          <w:szCs w:val="20"/>
          <w:vertAlign w:val="superscript"/>
        </w:rPr>
        <w:t>1</w:t>
      </w:r>
      <w:r w:rsidRPr="002303B4">
        <w:rPr>
          <w:sz w:val="20"/>
          <w:szCs w:val="20"/>
        </w:rPr>
        <w:t xml:space="preserve"> </w:t>
      </w:r>
      <w:r w:rsidR="005317F4" w:rsidRPr="002303B4">
        <w:rPr>
          <w:sz w:val="20"/>
          <w:szCs w:val="20"/>
        </w:rPr>
        <w:t>Any Manufacturer of associated equipment may be required to file a supplier's license as directed by the Board </w:t>
      </w:r>
    </w:p>
    <w:p w:rsidR="00AE05CD" w:rsidRPr="002303B4" w:rsidRDefault="00AE05CD" w:rsidP="00AE05CD">
      <w:pPr>
        <w:pStyle w:val="NormalWeb"/>
        <w:spacing w:before="0" w:beforeAutospacing="0" w:after="0" w:afterAutospacing="0"/>
        <w:rPr>
          <w:sz w:val="20"/>
          <w:szCs w:val="20"/>
          <w:vertAlign w:val="superscript"/>
        </w:rPr>
      </w:pPr>
    </w:p>
    <w:p w:rsidR="005317F4" w:rsidRPr="00107E60" w:rsidRDefault="00107E60" w:rsidP="00AE05CD">
      <w:pPr>
        <w:pStyle w:val="NormalWeb"/>
        <w:spacing w:before="0" w:beforeAutospacing="0" w:after="0" w:afterAutospacing="0"/>
        <w:rPr>
          <w:sz w:val="21"/>
          <w:szCs w:val="21"/>
        </w:rPr>
      </w:pPr>
      <w:r w:rsidRPr="002303B4">
        <w:rPr>
          <w:sz w:val="20"/>
          <w:szCs w:val="20"/>
          <w:vertAlign w:val="superscript"/>
        </w:rPr>
        <w:t>2</w:t>
      </w:r>
      <w:r w:rsidRPr="002303B4">
        <w:rPr>
          <w:sz w:val="20"/>
          <w:szCs w:val="20"/>
        </w:rPr>
        <w:t xml:space="preserve"> </w:t>
      </w:r>
      <w:r w:rsidR="005317F4" w:rsidRPr="002303B4">
        <w:rPr>
          <w:sz w:val="20"/>
          <w:szCs w:val="20"/>
        </w:rPr>
        <w:t>Any Manufacturer of associated equipment may be required to submit certain associated equipment or portions thereof to the MGCB Laboratory for review and approval </w:t>
      </w:r>
    </w:p>
    <w:p w:rsidR="00AE05CD" w:rsidRDefault="00AE05CD" w:rsidP="00AE05CD">
      <w:pPr>
        <w:pStyle w:val="NormalWeb"/>
        <w:spacing w:before="0" w:beforeAutospacing="0" w:after="0" w:afterAutospacing="0"/>
        <w:rPr>
          <w:sz w:val="21"/>
          <w:szCs w:val="21"/>
          <w:vertAlign w:val="superscript"/>
        </w:rPr>
      </w:pPr>
    </w:p>
    <w:p w:rsidR="004B26B4" w:rsidRDefault="004B26B4" w:rsidP="00AE05CD">
      <w:pPr>
        <w:pStyle w:val="NormalWeb"/>
        <w:spacing w:before="0" w:beforeAutospacing="0" w:after="0" w:afterAutospacing="0"/>
        <w:rPr>
          <w:sz w:val="21"/>
          <w:szCs w:val="21"/>
          <w:vertAlign w:val="superscript"/>
        </w:rPr>
      </w:pPr>
      <w:r>
        <w:rPr>
          <w:sz w:val="21"/>
          <w:szCs w:val="21"/>
          <w:vertAlign w:val="superscript"/>
        </w:rPr>
        <w:t>Display</w:t>
      </w:r>
    </w:p>
    <w:p w:rsidR="005C4495" w:rsidRDefault="00961B51" w:rsidP="00AE05CD">
      <w:pPr>
        <w:pStyle w:val="NormalWeb"/>
        <w:spacing w:before="0" w:beforeAutospacing="0" w:after="0" w:afterAutospacing="0"/>
        <w:rPr>
          <w:sz w:val="21"/>
          <w:szCs w:val="21"/>
        </w:rPr>
      </w:pPr>
      <w:r w:rsidRPr="00AE05CD">
        <w:rPr>
          <w:sz w:val="21"/>
          <w:szCs w:val="21"/>
          <w:vertAlign w:val="superscript"/>
        </w:rPr>
        <w:t>3</w:t>
      </w:r>
      <w:r w:rsidR="005C4495">
        <w:rPr>
          <w:sz w:val="21"/>
          <w:szCs w:val="21"/>
        </w:rPr>
        <w:t xml:space="preserve"> Read only displays do not require submission. Displays involved in the actual determination of game outcome or the awarding of a promotional prize may require submission.</w:t>
      </w:r>
    </w:p>
    <w:p w:rsidR="00AE05CD" w:rsidRDefault="00AE05CD" w:rsidP="00AE05CD">
      <w:pPr>
        <w:pStyle w:val="NormalWeb"/>
        <w:spacing w:before="0" w:beforeAutospacing="0" w:after="0" w:afterAutospacing="0"/>
        <w:rPr>
          <w:sz w:val="21"/>
          <w:szCs w:val="21"/>
          <w:vertAlign w:val="superscript"/>
        </w:rPr>
      </w:pPr>
    </w:p>
    <w:p w:rsidR="004B26B4" w:rsidRDefault="004B26B4" w:rsidP="00AE05CD">
      <w:pPr>
        <w:pStyle w:val="NormalWeb"/>
        <w:spacing w:before="0" w:beforeAutospacing="0" w:after="0" w:afterAutospacing="0"/>
        <w:rPr>
          <w:sz w:val="21"/>
          <w:szCs w:val="21"/>
          <w:vertAlign w:val="superscript"/>
        </w:rPr>
      </w:pPr>
      <w:r>
        <w:rPr>
          <w:sz w:val="21"/>
          <w:szCs w:val="21"/>
          <w:vertAlign w:val="superscript"/>
        </w:rPr>
        <w:t>Table Games</w:t>
      </w:r>
    </w:p>
    <w:p w:rsidR="00571C4C" w:rsidRDefault="00571C4C" w:rsidP="00AE05CD">
      <w:pPr>
        <w:pStyle w:val="NormalWeb"/>
        <w:spacing w:before="0" w:beforeAutospacing="0" w:after="0" w:afterAutospacing="0"/>
        <w:rPr>
          <w:sz w:val="21"/>
          <w:szCs w:val="21"/>
        </w:rPr>
      </w:pPr>
      <w:r w:rsidRPr="00E85054">
        <w:rPr>
          <w:sz w:val="21"/>
          <w:szCs w:val="21"/>
          <w:vertAlign w:val="superscript"/>
        </w:rPr>
        <w:t>4</w:t>
      </w:r>
      <w:r>
        <w:rPr>
          <w:sz w:val="21"/>
          <w:szCs w:val="21"/>
        </w:rPr>
        <w:t xml:space="preserve"> Table games layouts and rules of the game are subject to review and must be approved prior to use, but do not get submitted to the Gaming Lab. Evaluation will occur only after an interested casino licensee has submitted the proposed rules of the game, including layout, and any statistical analysis to the Deputy Director of Gaming &amp; Horse Racing Regulation of the MGCB requesting approval.</w:t>
      </w:r>
    </w:p>
    <w:p w:rsidR="00AE05CD" w:rsidRDefault="00AE05CD" w:rsidP="00AE05CD">
      <w:pPr>
        <w:pStyle w:val="NormalWeb"/>
        <w:spacing w:before="0" w:beforeAutospacing="0" w:after="0" w:afterAutospacing="0"/>
        <w:rPr>
          <w:sz w:val="21"/>
          <w:szCs w:val="21"/>
          <w:vertAlign w:val="superscript"/>
        </w:rPr>
      </w:pPr>
    </w:p>
    <w:p w:rsidR="004B26B4" w:rsidRDefault="004B26B4" w:rsidP="00AE05CD">
      <w:pPr>
        <w:pStyle w:val="NormalWeb"/>
        <w:spacing w:before="0" w:beforeAutospacing="0" w:after="0" w:afterAutospacing="0"/>
        <w:rPr>
          <w:sz w:val="21"/>
          <w:szCs w:val="21"/>
          <w:vertAlign w:val="superscript"/>
        </w:rPr>
      </w:pPr>
      <w:r>
        <w:rPr>
          <w:sz w:val="21"/>
          <w:szCs w:val="21"/>
          <w:vertAlign w:val="superscript"/>
        </w:rPr>
        <w:t>Gaming Chips</w:t>
      </w:r>
    </w:p>
    <w:p w:rsidR="00961B51" w:rsidRDefault="00961B51" w:rsidP="00AE05CD">
      <w:pPr>
        <w:pStyle w:val="NormalWeb"/>
        <w:spacing w:before="0" w:beforeAutospacing="0" w:after="0" w:afterAutospacing="0"/>
        <w:rPr>
          <w:sz w:val="21"/>
          <w:szCs w:val="21"/>
        </w:rPr>
      </w:pPr>
      <w:r w:rsidRPr="00AE05CD">
        <w:rPr>
          <w:sz w:val="21"/>
          <w:szCs w:val="21"/>
          <w:vertAlign w:val="superscript"/>
        </w:rPr>
        <w:t>5</w:t>
      </w:r>
      <w:r>
        <w:rPr>
          <w:sz w:val="21"/>
          <w:szCs w:val="21"/>
        </w:rPr>
        <w:t xml:space="preserve"> Gaming Chips </w:t>
      </w:r>
      <w:r w:rsidR="009F4F07">
        <w:rPr>
          <w:sz w:val="21"/>
          <w:szCs w:val="21"/>
        </w:rPr>
        <w:t xml:space="preserve">specifications </w:t>
      </w:r>
      <w:r>
        <w:rPr>
          <w:sz w:val="21"/>
          <w:szCs w:val="21"/>
        </w:rPr>
        <w:t xml:space="preserve">are in </w:t>
      </w:r>
      <w:r w:rsidR="009F4F07">
        <w:rPr>
          <w:sz w:val="21"/>
          <w:szCs w:val="21"/>
        </w:rPr>
        <w:t xml:space="preserve">Rules </w:t>
      </w:r>
      <w:r>
        <w:rPr>
          <w:sz w:val="21"/>
          <w:szCs w:val="21"/>
        </w:rPr>
        <w:t>432.182</w:t>
      </w:r>
      <w:r w:rsidR="00E45D2F">
        <w:rPr>
          <w:sz w:val="21"/>
          <w:szCs w:val="21"/>
        </w:rPr>
        <w:t>1 and 1822</w:t>
      </w:r>
      <w:r w:rsidR="00E752F3">
        <w:rPr>
          <w:sz w:val="21"/>
          <w:szCs w:val="21"/>
        </w:rPr>
        <w:t>. Gaming Chips</w:t>
      </w:r>
      <w:r w:rsidR="00E45D2F">
        <w:rPr>
          <w:sz w:val="21"/>
          <w:szCs w:val="21"/>
        </w:rPr>
        <w:t xml:space="preserve"> are to be submitted </w:t>
      </w:r>
      <w:r w:rsidR="00067202">
        <w:rPr>
          <w:sz w:val="21"/>
          <w:szCs w:val="21"/>
        </w:rPr>
        <w:t xml:space="preserve">by the casino licensee </w:t>
      </w:r>
      <w:r w:rsidR="00E45D2F">
        <w:rPr>
          <w:sz w:val="21"/>
          <w:szCs w:val="21"/>
        </w:rPr>
        <w:t>as “Gaming Hardware” for Gaming Lab evaluation</w:t>
      </w:r>
      <w:r>
        <w:rPr>
          <w:sz w:val="21"/>
          <w:szCs w:val="21"/>
        </w:rPr>
        <w:t>.</w:t>
      </w:r>
    </w:p>
    <w:p w:rsidR="00AE05CD" w:rsidRDefault="00AE05CD" w:rsidP="00AE05CD">
      <w:pPr>
        <w:pStyle w:val="NormalWeb"/>
        <w:spacing w:before="0" w:beforeAutospacing="0" w:after="0" w:afterAutospacing="0"/>
        <w:rPr>
          <w:sz w:val="21"/>
          <w:szCs w:val="21"/>
          <w:vertAlign w:val="superscript"/>
        </w:rPr>
      </w:pPr>
    </w:p>
    <w:p w:rsidR="004B26B4" w:rsidRDefault="004B26B4" w:rsidP="00AE05CD">
      <w:pPr>
        <w:pStyle w:val="NormalWeb"/>
        <w:spacing w:before="0" w:beforeAutospacing="0" w:after="0" w:afterAutospacing="0"/>
        <w:rPr>
          <w:sz w:val="21"/>
          <w:szCs w:val="21"/>
          <w:vertAlign w:val="superscript"/>
        </w:rPr>
      </w:pPr>
      <w:r>
        <w:rPr>
          <w:sz w:val="21"/>
          <w:szCs w:val="21"/>
          <w:vertAlign w:val="superscript"/>
        </w:rPr>
        <w:t>Computerized System</w:t>
      </w:r>
    </w:p>
    <w:p w:rsidR="009F4F07" w:rsidRDefault="009F4F07" w:rsidP="00AE05CD">
      <w:pPr>
        <w:pStyle w:val="NormalWeb"/>
        <w:spacing w:before="0" w:beforeAutospacing="0" w:after="0" w:afterAutospacing="0"/>
        <w:rPr>
          <w:sz w:val="21"/>
          <w:szCs w:val="21"/>
        </w:rPr>
      </w:pPr>
      <w:r w:rsidRPr="00AE05CD">
        <w:rPr>
          <w:sz w:val="21"/>
          <w:szCs w:val="21"/>
          <w:vertAlign w:val="superscript"/>
        </w:rPr>
        <w:t>6</w:t>
      </w:r>
      <w:r>
        <w:rPr>
          <w:sz w:val="21"/>
          <w:szCs w:val="21"/>
        </w:rPr>
        <w:t xml:space="preserve"> Critical Computerized Systems </w:t>
      </w:r>
      <w:r w:rsidR="00BD3551">
        <w:rPr>
          <w:sz w:val="21"/>
          <w:szCs w:val="21"/>
        </w:rPr>
        <w:t xml:space="preserve">and equipment </w:t>
      </w:r>
      <w:r>
        <w:rPr>
          <w:sz w:val="21"/>
          <w:szCs w:val="21"/>
        </w:rPr>
        <w:t>include</w:t>
      </w:r>
      <w:r w:rsidR="00BD3551">
        <w:rPr>
          <w:sz w:val="21"/>
          <w:szCs w:val="21"/>
        </w:rPr>
        <w:t>s</w:t>
      </w:r>
      <w:r>
        <w:rPr>
          <w:sz w:val="21"/>
          <w:szCs w:val="21"/>
        </w:rPr>
        <w:t xml:space="preserve"> all components of </w:t>
      </w:r>
      <w:r w:rsidR="00BD3551">
        <w:rPr>
          <w:sz w:val="21"/>
          <w:szCs w:val="21"/>
        </w:rPr>
        <w:t xml:space="preserve">systems hardware and software, </w:t>
      </w:r>
      <w:r>
        <w:rPr>
          <w:sz w:val="21"/>
          <w:szCs w:val="21"/>
        </w:rPr>
        <w:t>slot monitoring &amp; accounting systems, table game accounting</w:t>
      </w:r>
      <w:r w:rsidRPr="009F4F07">
        <w:rPr>
          <w:sz w:val="21"/>
          <w:szCs w:val="21"/>
        </w:rPr>
        <w:t xml:space="preserve"> </w:t>
      </w:r>
      <w:r>
        <w:rPr>
          <w:sz w:val="21"/>
          <w:szCs w:val="21"/>
        </w:rPr>
        <w:t>systems, bonusing</w:t>
      </w:r>
      <w:r w:rsidRPr="009F4F07">
        <w:rPr>
          <w:sz w:val="21"/>
          <w:szCs w:val="21"/>
        </w:rPr>
        <w:t xml:space="preserve"> </w:t>
      </w:r>
      <w:r>
        <w:rPr>
          <w:sz w:val="21"/>
          <w:szCs w:val="21"/>
        </w:rPr>
        <w:t>systems, server supported games</w:t>
      </w:r>
      <w:r w:rsidRPr="009F4F07">
        <w:rPr>
          <w:sz w:val="21"/>
          <w:szCs w:val="21"/>
        </w:rPr>
        <w:t xml:space="preserve"> </w:t>
      </w:r>
      <w:r>
        <w:rPr>
          <w:sz w:val="21"/>
          <w:szCs w:val="21"/>
        </w:rPr>
        <w:t>systems, cashless wagering</w:t>
      </w:r>
      <w:r w:rsidRPr="009F4F07">
        <w:rPr>
          <w:sz w:val="21"/>
          <w:szCs w:val="21"/>
        </w:rPr>
        <w:t xml:space="preserve"> </w:t>
      </w:r>
      <w:r>
        <w:rPr>
          <w:sz w:val="21"/>
          <w:szCs w:val="21"/>
        </w:rPr>
        <w:t xml:space="preserve">systems, </w:t>
      </w:r>
      <w:r w:rsidR="00BD3551">
        <w:rPr>
          <w:sz w:val="21"/>
          <w:szCs w:val="21"/>
        </w:rPr>
        <w:t xml:space="preserve">server based progressive systems, </w:t>
      </w:r>
      <w:r>
        <w:rPr>
          <w:sz w:val="21"/>
          <w:szCs w:val="21"/>
        </w:rPr>
        <w:t>player tracking</w:t>
      </w:r>
      <w:r w:rsidRPr="009F4F07">
        <w:rPr>
          <w:sz w:val="21"/>
          <w:szCs w:val="21"/>
        </w:rPr>
        <w:t xml:space="preserve"> </w:t>
      </w:r>
      <w:r>
        <w:rPr>
          <w:sz w:val="21"/>
          <w:szCs w:val="21"/>
        </w:rPr>
        <w:t>systems, cage &amp; credit systems and database software and equipment that individually or in combination are used in gambling operations.</w:t>
      </w:r>
    </w:p>
    <w:p w:rsidR="004B26B4" w:rsidRDefault="004B26B4" w:rsidP="005317F4">
      <w:pPr>
        <w:pStyle w:val="NormalWeb"/>
        <w:rPr>
          <w:sz w:val="21"/>
          <w:szCs w:val="21"/>
        </w:rPr>
      </w:pPr>
      <w:r>
        <w:rPr>
          <w:sz w:val="21"/>
          <w:szCs w:val="21"/>
        </w:rPr>
        <w:t>VAR</w:t>
      </w:r>
    </w:p>
    <w:p w:rsidR="006B3E9A" w:rsidRDefault="006B3E9A" w:rsidP="005317F4">
      <w:pPr>
        <w:pStyle w:val="NormalWeb"/>
        <w:rPr>
          <w:sz w:val="21"/>
          <w:szCs w:val="21"/>
        </w:rPr>
      </w:pPr>
      <w:r>
        <w:rPr>
          <w:sz w:val="21"/>
          <w:szCs w:val="21"/>
        </w:rPr>
        <w:t>“VAR” means verify and release.</w:t>
      </w:r>
      <w:r w:rsidR="000D63E4">
        <w:rPr>
          <w:sz w:val="21"/>
          <w:szCs w:val="21"/>
        </w:rPr>
        <w:t xml:space="preserve"> VAR product updates do not require approval prior to distribution or use by a casino licensee.</w:t>
      </w:r>
    </w:p>
    <w:p w:rsidR="005317F4" w:rsidRDefault="005317F4" w:rsidP="005317F4">
      <w:pPr>
        <w:pStyle w:val="NormalWeb"/>
        <w:rPr>
          <w:sz w:val="21"/>
          <w:szCs w:val="21"/>
        </w:rPr>
      </w:pPr>
    </w:p>
    <w:p w:rsidR="00027705" w:rsidRDefault="005317F4">
      <w:r>
        <w:rPr>
          <w:noProof/>
          <w:sz w:val="21"/>
          <w:szCs w:val="21"/>
        </w:rPr>
        <w:drawing>
          <wp:anchor distT="0" distB="0" distL="47625" distR="47625" simplePos="0" relativeHeight="251658240" behindDoc="0" locked="0" layoutInCell="1" allowOverlap="0" wp14:anchorId="290055F4" wp14:editId="0CEE31DC">
            <wp:simplePos x="0" y="0"/>
            <wp:positionH relativeFrom="column">
              <wp:align>left</wp:align>
            </wp:positionH>
            <wp:positionV relativeFrom="line">
              <wp:posOffset>0</wp:posOffset>
            </wp:positionV>
            <wp:extent cx="952500" cy="638175"/>
            <wp:effectExtent l="0" t="0" r="0" b="9525"/>
            <wp:wrapSquare wrapText="bothSides"/>
            <wp:docPr id="3" name="Picture 3" descr="http://www.michigan.gov/images/mgcb/Red_Phone_316075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michigan.gov/images/mgcb/Red_Phone_316075_7.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2500"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Strong"/>
          <w:sz w:val="20"/>
          <w:szCs w:val="15"/>
        </w:rPr>
        <w:t>Questions?</w:t>
      </w:r>
      <w:r>
        <w:rPr>
          <w:rStyle w:val="Strong"/>
          <w:sz w:val="21"/>
          <w:szCs w:val="21"/>
        </w:rPr>
        <w:t> </w:t>
      </w:r>
      <w:r>
        <w:rPr>
          <w:sz w:val="20"/>
          <w:szCs w:val="15"/>
        </w:rPr>
        <w:t>- For questions regarding the submission of gaming devices to the MGCB Gaming Lab, or questions regarding the matrix above, please contact the Gaming Lab at (313) 456-4215. For questions regarding licensing or vendor information, please contact the Licensing and Regulation Division at (313) 456-1</w:t>
      </w:r>
      <w:r w:rsidR="00AB19BE">
        <w:rPr>
          <w:sz w:val="20"/>
          <w:szCs w:val="15"/>
        </w:rPr>
        <w:t>459</w:t>
      </w:r>
      <w:r>
        <w:rPr>
          <w:sz w:val="20"/>
          <w:szCs w:val="15"/>
        </w:rPr>
        <w:t>.</w:t>
      </w:r>
      <w:r>
        <w:rPr>
          <w:sz w:val="21"/>
          <w:szCs w:val="21"/>
        </w:rPr>
        <w:t> </w:t>
      </w:r>
      <w:r w:rsidRPr="005317F4">
        <w:rPr>
          <w:rFonts w:ascii="Arial" w:eastAsia="Times New Roman" w:hAnsi="Arial" w:cs="Arial"/>
          <w:color w:val="000000"/>
          <w:sz w:val="24"/>
          <w:szCs w:val="24"/>
        </w:rPr>
        <w:br w:type="textWrapping" w:clear="all"/>
      </w:r>
    </w:p>
    <w:sectPr w:rsidR="0002770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03B4" w:rsidRDefault="002303B4" w:rsidP="002303B4">
      <w:pPr>
        <w:spacing w:after="0" w:line="240" w:lineRule="auto"/>
      </w:pPr>
      <w:r>
        <w:separator/>
      </w:r>
    </w:p>
  </w:endnote>
  <w:endnote w:type="continuationSeparator" w:id="0">
    <w:p w:rsidR="002303B4" w:rsidRDefault="002303B4" w:rsidP="002303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03B4" w:rsidRDefault="002303B4" w:rsidP="002303B4">
      <w:pPr>
        <w:spacing w:after="0" w:line="240" w:lineRule="auto"/>
      </w:pPr>
      <w:r>
        <w:separator/>
      </w:r>
    </w:p>
  </w:footnote>
  <w:footnote w:type="continuationSeparator" w:id="0">
    <w:p w:rsidR="002303B4" w:rsidRDefault="002303B4" w:rsidP="002303B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EC0E61"/>
    <w:multiLevelType w:val="hybridMultilevel"/>
    <w:tmpl w:val="8DE64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cumentProtection w:edit="readOnly" w:formatting="1" w:enforcement="1" w:cryptProviderType="rsaFull" w:cryptAlgorithmClass="hash" w:cryptAlgorithmType="typeAny" w:cryptAlgorithmSid="4" w:cryptSpinCount="100000" w:hash="dJBUxVqFZNR720jk+rARcPmSjH0=" w:salt="xvEXzL+BFNy5QOin/rtvOQ=="/>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7F4"/>
    <w:rsid w:val="00027705"/>
    <w:rsid w:val="00067202"/>
    <w:rsid w:val="00067A3C"/>
    <w:rsid w:val="000D63E4"/>
    <w:rsid w:val="000D7B74"/>
    <w:rsid w:val="00107BB5"/>
    <w:rsid w:val="00107E60"/>
    <w:rsid w:val="00177A3E"/>
    <w:rsid w:val="001B3561"/>
    <w:rsid w:val="002303B4"/>
    <w:rsid w:val="0023452A"/>
    <w:rsid w:val="002861BC"/>
    <w:rsid w:val="00386059"/>
    <w:rsid w:val="003A4916"/>
    <w:rsid w:val="00477285"/>
    <w:rsid w:val="004B26B4"/>
    <w:rsid w:val="004F324A"/>
    <w:rsid w:val="004F4CBF"/>
    <w:rsid w:val="0052118B"/>
    <w:rsid w:val="00523EF4"/>
    <w:rsid w:val="005317F4"/>
    <w:rsid w:val="00571C4C"/>
    <w:rsid w:val="005C4495"/>
    <w:rsid w:val="00621AB3"/>
    <w:rsid w:val="006B3E9A"/>
    <w:rsid w:val="006F0C6C"/>
    <w:rsid w:val="006F4465"/>
    <w:rsid w:val="00747B67"/>
    <w:rsid w:val="008517AE"/>
    <w:rsid w:val="008F203D"/>
    <w:rsid w:val="00935AFF"/>
    <w:rsid w:val="00961B51"/>
    <w:rsid w:val="00995BDA"/>
    <w:rsid w:val="009F4F07"/>
    <w:rsid w:val="00AB19BE"/>
    <w:rsid w:val="00AE05CD"/>
    <w:rsid w:val="00B8491C"/>
    <w:rsid w:val="00BD3551"/>
    <w:rsid w:val="00C07A13"/>
    <w:rsid w:val="00C16D4E"/>
    <w:rsid w:val="00DD557E"/>
    <w:rsid w:val="00E361D5"/>
    <w:rsid w:val="00E45D2F"/>
    <w:rsid w:val="00E65507"/>
    <w:rsid w:val="00E752F3"/>
    <w:rsid w:val="00E820F6"/>
    <w:rsid w:val="00ED1B6D"/>
    <w:rsid w:val="00F210C3"/>
    <w:rsid w:val="00F86E7A"/>
    <w:rsid w:val="00F9219E"/>
    <w:rsid w:val="00FF0D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317F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317F4"/>
    <w:rPr>
      <w:rFonts w:ascii="Times New Roman" w:eastAsia="Times New Roman" w:hAnsi="Times New Roman" w:cs="Times New Roman"/>
      <w:b/>
      <w:bCs/>
      <w:sz w:val="36"/>
      <w:szCs w:val="36"/>
    </w:rPr>
  </w:style>
  <w:style w:type="character" w:styleId="Strong">
    <w:name w:val="Strong"/>
    <w:basedOn w:val="DefaultParagraphFont"/>
    <w:uiPriority w:val="22"/>
    <w:qFormat/>
    <w:rsid w:val="005317F4"/>
    <w:rPr>
      <w:b/>
      <w:bCs/>
    </w:rPr>
  </w:style>
  <w:style w:type="paragraph" w:styleId="NormalWeb">
    <w:name w:val="Normal (Web)"/>
    <w:basedOn w:val="Normal"/>
    <w:uiPriority w:val="99"/>
    <w:unhideWhenUsed/>
    <w:rsid w:val="005317F4"/>
    <w:pPr>
      <w:spacing w:before="100" w:beforeAutospacing="1" w:after="100" w:afterAutospacing="1" w:line="240" w:lineRule="auto"/>
    </w:pPr>
    <w:rPr>
      <w:rFonts w:ascii="Arial" w:eastAsia="Times New Roman" w:hAnsi="Arial" w:cs="Arial"/>
      <w:color w:val="000000"/>
      <w:sz w:val="24"/>
      <w:szCs w:val="24"/>
    </w:rPr>
  </w:style>
  <w:style w:type="paragraph" w:styleId="BalloonText">
    <w:name w:val="Balloon Text"/>
    <w:basedOn w:val="Normal"/>
    <w:link w:val="BalloonTextChar"/>
    <w:uiPriority w:val="99"/>
    <w:semiHidden/>
    <w:unhideWhenUsed/>
    <w:rsid w:val="005317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17F4"/>
    <w:rPr>
      <w:rFonts w:ascii="Tahoma" w:hAnsi="Tahoma" w:cs="Tahoma"/>
      <w:sz w:val="16"/>
      <w:szCs w:val="16"/>
    </w:rPr>
  </w:style>
  <w:style w:type="character" w:styleId="CommentReference">
    <w:name w:val="annotation reference"/>
    <w:basedOn w:val="DefaultParagraphFont"/>
    <w:uiPriority w:val="99"/>
    <w:semiHidden/>
    <w:unhideWhenUsed/>
    <w:rsid w:val="00C07A13"/>
    <w:rPr>
      <w:sz w:val="16"/>
      <w:szCs w:val="16"/>
    </w:rPr>
  </w:style>
  <w:style w:type="paragraph" w:styleId="CommentText">
    <w:name w:val="annotation text"/>
    <w:basedOn w:val="Normal"/>
    <w:link w:val="CommentTextChar"/>
    <w:uiPriority w:val="99"/>
    <w:semiHidden/>
    <w:unhideWhenUsed/>
    <w:rsid w:val="00C07A13"/>
    <w:pPr>
      <w:spacing w:line="240" w:lineRule="auto"/>
    </w:pPr>
    <w:rPr>
      <w:sz w:val="20"/>
      <w:szCs w:val="20"/>
    </w:rPr>
  </w:style>
  <w:style w:type="character" w:customStyle="1" w:styleId="CommentTextChar">
    <w:name w:val="Comment Text Char"/>
    <w:basedOn w:val="DefaultParagraphFont"/>
    <w:link w:val="CommentText"/>
    <w:uiPriority w:val="99"/>
    <w:semiHidden/>
    <w:rsid w:val="00C07A13"/>
    <w:rPr>
      <w:sz w:val="20"/>
      <w:szCs w:val="20"/>
    </w:rPr>
  </w:style>
  <w:style w:type="paragraph" w:styleId="CommentSubject">
    <w:name w:val="annotation subject"/>
    <w:basedOn w:val="CommentText"/>
    <w:next w:val="CommentText"/>
    <w:link w:val="CommentSubjectChar"/>
    <w:uiPriority w:val="99"/>
    <w:semiHidden/>
    <w:unhideWhenUsed/>
    <w:rsid w:val="00C07A13"/>
    <w:rPr>
      <w:b/>
      <w:bCs/>
    </w:rPr>
  </w:style>
  <w:style w:type="character" w:customStyle="1" w:styleId="CommentSubjectChar">
    <w:name w:val="Comment Subject Char"/>
    <w:basedOn w:val="CommentTextChar"/>
    <w:link w:val="CommentSubject"/>
    <w:uiPriority w:val="99"/>
    <w:semiHidden/>
    <w:rsid w:val="00C07A13"/>
    <w:rPr>
      <w:b/>
      <w:bCs/>
      <w:sz w:val="20"/>
      <w:szCs w:val="20"/>
    </w:rPr>
  </w:style>
  <w:style w:type="paragraph" w:styleId="ListParagraph">
    <w:name w:val="List Paragraph"/>
    <w:basedOn w:val="Normal"/>
    <w:uiPriority w:val="34"/>
    <w:qFormat/>
    <w:rsid w:val="00FF0DBC"/>
    <w:pPr>
      <w:ind w:left="720"/>
      <w:contextualSpacing/>
    </w:pPr>
  </w:style>
  <w:style w:type="table" w:styleId="TableGrid">
    <w:name w:val="Table Grid"/>
    <w:basedOn w:val="TableNormal"/>
    <w:uiPriority w:val="59"/>
    <w:rsid w:val="008517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303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03B4"/>
  </w:style>
  <w:style w:type="paragraph" w:styleId="Footer">
    <w:name w:val="footer"/>
    <w:basedOn w:val="Normal"/>
    <w:link w:val="FooterChar"/>
    <w:uiPriority w:val="99"/>
    <w:unhideWhenUsed/>
    <w:rsid w:val="002303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03B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317F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317F4"/>
    <w:rPr>
      <w:rFonts w:ascii="Times New Roman" w:eastAsia="Times New Roman" w:hAnsi="Times New Roman" w:cs="Times New Roman"/>
      <w:b/>
      <w:bCs/>
      <w:sz w:val="36"/>
      <w:szCs w:val="36"/>
    </w:rPr>
  </w:style>
  <w:style w:type="character" w:styleId="Strong">
    <w:name w:val="Strong"/>
    <w:basedOn w:val="DefaultParagraphFont"/>
    <w:uiPriority w:val="22"/>
    <w:qFormat/>
    <w:rsid w:val="005317F4"/>
    <w:rPr>
      <w:b/>
      <w:bCs/>
    </w:rPr>
  </w:style>
  <w:style w:type="paragraph" w:styleId="NormalWeb">
    <w:name w:val="Normal (Web)"/>
    <w:basedOn w:val="Normal"/>
    <w:uiPriority w:val="99"/>
    <w:unhideWhenUsed/>
    <w:rsid w:val="005317F4"/>
    <w:pPr>
      <w:spacing w:before="100" w:beforeAutospacing="1" w:after="100" w:afterAutospacing="1" w:line="240" w:lineRule="auto"/>
    </w:pPr>
    <w:rPr>
      <w:rFonts w:ascii="Arial" w:eastAsia="Times New Roman" w:hAnsi="Arial" w:cs="Arial"/>
      <w:color w:val="000000"/>
      <w:sz w:val="24"/>
      <w:szCs w:val="24"/>
    </w:rPr>
  </w:style>
  <w:style w:type="paragraph" w:styleId="BalloonText">
    <w:name w:val="Balloon Text"/>
    <w:basedOn w:val="Normal"/>
    <w:link w:val="BalloonTextChar"/>
    <w:uiPriority w:val="99"/>
    <w:semiHidden/>
    <w:unhideWhenUsed/>
    <w:rsid w:val="005317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17F4"/>
    <w:rPr>
      <w:rFonts w:ascii="Tahoma" w:hAnsi="Tahoma" w:cs="Tahoma"/>
      <w:sz w:val="16"/>
      <w:szCs w:val="16"/>
    </w:rPr>
  </w:style>
  <w:style w:type="character" w:styleId="CommentReference">
    <w:name w:val="annotation reference"/>
    <w:basedOn w:val="DefaultParagraphFont"/>
    <w:uiPriority w:val="99"/>
    <w:semiHidden/>
    <w:unhideWhenUsed/>
    <w:rsid w:val="00C07A13"/>
    <w:rPr>
      <w:sz w:val="16"/>
      <w:szCs w:val="16"/>
    </w:rPr>
  </w:style>
  <w:style w:type="paragraph" w:styleId="CommentText">
    <w:name w:val="annotation text"/>
    <w:basedOn w:val="Normal"/>
    <w:link w:val="CommentTextChar"/>
    <w:uiPriority w:val="99"/>
    <w:semiHidden/>
    <w:unhideWhenUsed/>
    <w:rsid w:val="00C07A13"/>
    <w:pPr>
      <w:spacing w:line="240" w:lineRule="auto"/>
    </w:pPr>
    <w:rPr>
      <w:sz w:val="20"/>
      <w:szCs w:val="20"/>
    </w:rPr>
  </w:style>
  <w:style w:type="character" w:customStyle="1" w:styleId="CommentTextChar">
    <w:name w:val="Comment Text Char"/>
    <w:basedOn w:val="DefaultParagraphFont"/>
    <w:link w:val="CommentText"/>
    <w:uiPriority w:val="99"/>
    <w:semiHidden/>
    <w:rsid w:val="00C07A13"/>
    <w:rPr>
      <w:sz w:val="20"/>
      <w:szCs w:val="20"/>
    </w:rPr>
  </w:style>
  <w:style w:type="paragraph" w:styleId="CommentSubject">
    <w:name w:val="annotation subject"/>
    <w:basedOn w:val="CommentText"/>
    <w:next w:val="CommentText"/>
    <w:link w:val="CommentSubjectChar"/>
    <w:uiPriority w:val="99"/>
    <w:semiHidden/>
    <w:unhideWhenUsed/>
    <w:rsid w:val="00C07A13"/>
    <w:rPr>
      <w:b/>
      <w:bCs/>
    </w:rPr>
  </w:style>
  <w:style w:type="character" w:customStyle="1" w:styleId="CommentSubjectChar">
    <w:name w:val="Comment Subject Char"/>
    <w:basedOn w:val="CommentTextChar"/>
    <w:link w:val="CommentSubject"/>
    <w:uiPriority w:val="99"/>
    <w:semiHidden/>
    <w:rsid w:val="00C07A13"/>
    <w:rPr>
      <w:b/>
      <w:bCs/>
      <w:sz w:val="20"/>
      <w:szCs w:val="20"/>
    </w:rPr>
  </w:style>
  <w:style w:type="paragraph" w:styleId="ListParagraph">
    <w:name w:val="List Paragraph"/>
    <w:basedOn w:val="Normal"/>
    <w:uiPriority w:val="34"/>
    <w:qFormat/>
    <w:rsid w:val="00FF0DBC"/>
    <w:pPr>
      <w:ind w:left="720"/>
      <w:contextualSpacing/>
    </w:pPr>
  </w:style>
  <w:style w:type="table" w:styleId="TableGrid">
    <w:name w:val="Table Grid"/>
    <w:basedOn w:val="TableNormal"/>
    <w:uiPriority w:val="59"/>
    <w:rsid w:val="008517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303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03B4"/>
  </w:style>
  <w:style w:type="paragraph" w:styleId="Footer">
    <w:name w:val="footer"/>
    <w:basedOn w:val="Normal"/>
    <w:link w:val="FooterChar"/>
    <w:uiPriority w:val="99"/>
    <w:unhideWhenUsed/>
    <w:rsid w:val="002303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03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0887930">
      <w:bodyDiv w:val="1"/>
      <w:marLeft w:val="0"/>
      <w:marRight w:val="0"/>
      <w:marTop w:val="0"/>
      <w:marBottom w:val="0"/>
      <w:divBdr>
        <w:top w:val="none" w:sz="0" w:space="0" w:color="auto"/>
        <w:left w:val="none" w:sz="0" w:space="0" w:color="auto"/>
        <w:bottom w:val="none" w:sz="0" w:space="0" w:color="auto"/>
        <w:right w:val="none" w:sz="0" w:space="0" w:color="auto"/>
      </w:divBdr>
      <w:divsChild>
        <w:div w:id="267547291">
          <w:marLeft w:val="0"/>
          <w:marRight w:val="0"/>
          <w:marTop w:val="0"/>
          <w:marBottom w:val="0"/>
          <w:divBdr>
            <w:top w:val="none" w:sz="0" w:space="0" w:color="auto"/>
            <w:left w:val="none" w:sz="0" w:space="0" w:color="auto"/>
            <w:bottom w:val="none" w:sz="0" w:space="0" w:color="auto"/>
            <w:right w:val="none" w:sz="0" w:space="0" w:color="auto"/>
          </w:divBdr>
          <w:divsChild>
            <w:div w:id="157177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083895">
      <w:bodyDiv w:val="1"/>
      <w:marLeft w:val="0"/>
      <w:marRight w:val="0"/>
      <w:marTop w:val="0"/>
      <w:marBottom w:val="0"/>
      <w:divBdr>
        <w:top w:val="none" w:sz="0" w:space="0" w:color="auto"/>
        <w:left w:val="none" w:sz="0" w:space="0" w:color="auto"/>
        <w:bottom w:val="none" w:sz="0" w:space="0" w:color="auto"/>
        <w:right w:val="none" w:sz="0" w:space="0" w:color="auto"/>
      </w:divBdr>
      <w:divsChild>
        <w:div w:id="1127965101">
          <w:marLeft w:val="0"/>
          <w:marRight w:val="0"/>
          <w:marTop w:val="0"/>
          <w:marBottom w:val="0"/>
          <w:divBdr>
            <w:top w:val="none" w:sz="0" w:space="0" w:color="auto"/>
            <w:left w:val="none" w:sz="0" w:space="0" w:color="auto"/>
            <w:bottom w:val="none" w:sz="0" w:space="0" w:color="auto"/>
            <w:right w:val="none" w:sz="0" w:space="0" w:color="auto"/>
          </w:divBdr>
          <w:divsChild>
            <w:div w:id="183665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37869">
      <w:bodyDiv w:val="1"/>
      <w:marLeft w:val="0"/>
      <w:marRight w:val="0"/>
      <w:marTop w:val="0"/>
      <w:marBottom w:val="0"/>
      <w:divBdr>
        <w:top w:val="none" w:sz="0" w:space="0" w:color="auto"/>
        <w:left w:val="none" w:sz="0" w:space="0" w:color="auto"/>
        <w:bottom w:val="none" w:sz="0" w:space="0" w:color="auto"/>
        <w:right w:val="none" w:sz="0" w:space="0" w:color="auto"/>
      </w:divBdr>
      <w:divsChild>
        <w:div w:id="1245410074">
          <w:marLeft w:val="0"/>
          <w:marRight w:val="0"/>
          <w:marTop w:val="0"/>
          <w:marBottom w:val="0"/>
          <w:divBdr>
            <w:top w:val="none" w:sz="0" w:space="0" w:color="auto"/>
            <w:left w:val="none" w:sz="0" w:space="0" w:color="auto"/>
            <w:bottom w:val="none" w:sz="0" w:space="0" w:color="auto"/>
            <w:right w:val="none" w:sz="0" w:space="0" w:color="auto"/>
          </w:divBdr>
          <w:divsChild>
            <w:div w:id="1355767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chigan.gov/mgcb/0,1607,7-120-57144_57145-245364--,00.htm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ichigan.gov/mgcb/0,1607,7-120-55587_55588---,00.html" TargetMode="External"/><Relationship Id="rId5" Type="http://schemas.openxmlformats.org/officeDocument/2006/relationships/webSettings" Target="webSettings.xml"/><Relationship Id="rId10" Type="http://schemas.openxmlformats.org/officeDocument/2006/relationships/hyperlink" Target="http://www.michigan.gov/mgcb/0,1607,7-120-55587_55593---,00.html" TargetMode="External"/><Relationship Id="rId4" Type="http://schemas.openxmlformats.org/officeDocument/2006/relationships/settings" Target="settings.xml"/><Relationship Id="rId9" Type="http://schemas.openxmlformats.org/officeDocument/2006/relationships/hyperlink" Target="http://www.michigan.gov/mgcb/0,1607,7-120-57144_57145-245364--,00.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3</Pages>
  <Words>1032</Words>
  <Characters>5400</Characters>
  <Application>Microsoft Office Word</Application>
  <DocSecurity>8</DocSecurity>
  <Lines>257</Lines>
  <Paragraphs>229</Paragraphs>
  <ScaleCrop>false</ScaleCrop>
  <HeadingPairs>
    <vt:vector size="2" baseType="variant">
      <vt:variant>
        <vt:lpstr>Title</vt:lpstr>
      </vt:variant>
      <vt:variant>
        <vt:i4>1</vt:i4>
      </vt:variant>
    </vt:vector>
  </HeadingPairs>
  <TitlesOfParts>
    <vt:vector size="1" baseType="lpstr">
      <vt:lpstr/>
    </vt:vector>
  </TitlesOfParts>
  <Company>MGCB</Company>
  <LinksUpToDate>false</LinksUpToDate>
  <CharactersWithSpaces>6203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Adams, Chris C</dc:creator>
  <cp:keywords/>
  <dc:description/>
  <cp:lastModifiedBy>Lander, Laurie</cp:lastModifiedBy>
  <cp:revision>5</cp:revision>
  <cp:lastPrinted>2013-12-16T18:45:00Z</cp:lastPrinted>
  <dcterms:created xsi:type="dcterms:W3CDTF">2014-01-30T18:03:00Z</dcterms:created>
  <dcterms:modified xsi:type="dcterms:W3CDTF">2014-02-04T13:46:00Z</dcterms:modified>
</cp:coreProperties>
</file>