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97E" w:rsidP="00025976" w:rsidRDefault="0021097E" w14:paraId="79BDE8CD" w14:textId="77777777">
      <w:pPr>
        <w:pStyle w:val="AZNormalTitle"/>
      </w:pPr>
      <w:r w:rsidRPr="00D25EC3">
        <w:t xml:space="preserve">Michigan Department of Health and Human Services </w:t>
      </w:r>
    </w:p>
    <w:p w:rsidRPr="0021097E" w:rsidR="00461151" w:rsidP="00025976" w:rsidRDefault="0021097E" w14:paraId="2A4C4E8C" w14:textId="26900F0E">
      <w:pPr>
        <w:pStyle w:val="AZNormalTitle"/>
      </w:pPr>
      <w:r w:rsidRPr="00D25EC3">
        <w:t>Bureau of Laboratories</w:t>
      </w:r>
    </w:p>
    <w:p w:rsidRPr="0021097E" w:rsidR="00461151" w:rsidP="00025976" w:rsidRDefault="0021097E" w14:paraId="4C6E1A4A" w14:textId="519C92BE">
      <w:pPr>
        <w:pStyle w:val="AZHeading1"/>
      </w:pPr>
      <w:r>
        <w:t xml:space="preserve">AZ.005 </w:t>
      </w:r>
      <w:r w:rsidRPr="002F18AB" w:rsidR="00B7109A">
        <w:rPr>
          <w:i/>
          <w:iCs/>
        </w:rPr>
        <w:t>Brucella</w:t>
      </w:r>
      <w:r w:rsidRPr="0021097E" w:rsidR="00B7109A">
        <w:t xml:space="preserve"> </w:t>
      </w:r>
      <w:r w:rsidRPr="0021097E" w:rsidR="006C7EB8">
        <w:t xml:space="preserve">Antibody </w:t>
      </w:r>
      <w:r w:rsidRPr="0021097E" w:rsidR="003F281C">
        <w:t>Determination</w:t>
      </w:r>
      <w:r w:rsidRPr="0021097E" w:rsidR="00B7109A">
        <w:t xml:space="preserve">  </w:t>
      </w:r>
    </w:p>
    <w:p w:rsidRPr="0021097E" w:rsidR="00461151" w:rsidP="00025976" w:rsidRDefault="0021097E" w14:paraId="36F36306" w14:textId="22FA4264">
      <w:pPr>
        <w:pStyle w:val="AZNormalTitle"/>
      </w:pPr>
      <w:r w:rsidRPr="00D25EC3">
        <w:t>Rev 01/</w:t>
      </w:r>
      <w:r>
        <w:t>29</w:t>
      </w:r>
      <w:r w:rsidRPr="00D25EC3">
        <w:t>/2025</w:t>
      </w:r>
    </w:p>
    <w:p w:rsidRPr="0021097E" w:rsidR="0021097E" w:rsidP="00025976" w:rsidRDefault="00C0500D" w14:paraId="1BD81643" w14:textId="77777777">
      <w:pPr>
        <w:pStyle w:val="AZHeading2"/>
      </w:pPr>
      <w:r w:rsidRPr="0021097E">
        <w:t>ANALYTES TESTED:</w:t>
      </w:r>
      <w:r w:rsidRPr="0021097E" w:rsidR="002F27A1">
        <w:t xml:space="preserve"> </w:t>
      </w:r>
      <w:r w:rsidRPr="0021097E" w:rsidR="00641EB7">
        <w:t xml:space="preserve"> </w:t>
      </w:r>
    </w:p>
    <w:p w:rsidRPr="00275305" w:rsidR="00C0500D" w:rsidP="00025976" w:rsidRDefault="005A6FFD" w14:paraId="28F04CB1" w14:textId="728B8F03">
      <w:pPr>
        <w:pStyle w:val="AZNormalBody"/>
      </w:pPr>
      <w:r w:rsidRPr="00275305">
        <w:rPr>
          <w:i/>
          <w:iCs/>
        </w:rPr>
        <w:t>Brucella</w:t>
      </w:r>
      <w:r w:rsidRPr="00275305">
        <w:t xml:space="preserve"> species antibodies</w:t>
      </w:r>
      <w:r w:rsidRPr="00275305" w:rsidR="00931A8C">
        <w:t>.</w:t>
      </w:r>
    </w:p>
    <w:p w:rsidR="0021097E" w:rsidP="00025976" w:rsidRDefault="00461151" w14:paraId="00A28B5B" w14:textId="77777777">
      <w:pPr>
        <w:pStyle w:val="AZHeading2"/>
      </w:pPr>
      <w:r w:rsidRPr="00275305">
        <w:t>USE OF TEST</w:t>
      </w:r>
      <w:r w:rsidRPr="00275305" w:rsidR="0021097E">
        <w:t xml:space="preserve">: </w:t>
      </w:r>
    </w:p>
    <w:p w:rsidRPr="00275305" w:rsidR="00461151" w:rsidP="00025976" w:rsidRDefault="0021097E" w14:paraId="0FE3B436" w14:textId="76CE5ABE">
      <w:pPr>
        <w:pStyle w:val="AZNormalBody"/>
      </w:pPr>
      <w:r w:rsidRPr="00275305">
        <w:t>For</w:t>
      </w:r>
      <w:r w:rsidRPr="00275305" w:rsidR="00931A8C">
        <w:t xml:space="preserve"> the d</w:t>
      </w:r>
      <w:r w:rsidRPr="00275305" w:rsidR="002F27A1">
        <w:t xml:space="preserve">etection </w:t>
      </w:r>
      <w:r w:rsidRPr="00275305" w:rsidR="005A6FFD">
        <w:t xml:space="preserve">and semi-quantitation of </w:t>
      </w:r>
      <w:r w:rsidRPr="00275305" w:rsidR="002F27A1">
        <w:t xml:space="preserve">total antibody and IgG antibodies to </w:t>
      </w:r>
      <w:r w:rsidRPr="00275305" w:rsidR="002F27A1">
        <w:rPr>
          <w:i/>
          <w:iCs/>
        </w:rPr>
        <w:t xml:space="preserve">B. abortus, B. suis, </w:t>
      </w:r>
      <w:r w:rsidRPr="00275305" w:rsidR="002F27A1">
        <w:t xml:space="preserve">and </w:t>
      </w:r>
      <w:r w:rsidRPr="00275305" w:rsidR="002F27A1">
        <w:rPr>
          <w:i/>
          <w:iCs/>
        </w:rPr>
        <w:t xml:space="preserve">B. </w:t>
      </w:r>
      <w:proofErr w:type="spellStart"/>
      <w:r w:rsidRPr="00275305" w:rsidR="002F27A1">
        <w:rPr>
          <w:i/>
          <w:iCs/>
        </w:rPr>
        <w:t>melitensis</w:t>
      </w:r>
      <w:proofErr w:type="spellEnd"/>
      <w:r w:rsidRPr="00275305" w:rsidR="00AD3F67">
        <w:rPr>
          <w:i/>
          <w:iCs/>
        </w:rPr>
        <w:t xml:space="preserve"> </w:t>
      </w:r>
      <w:r w:rsidRPr="00275305" w:rsidR="00AD3F67">
        <w:rPr>
          <w:iCs/>
        </w:rPr>
        <w:t xml:space="preserve">in human serum by </w:t>
      </w:r>
      <w:r w:rsidRPr="00275305" w:rsidR="005A6FFD">
        <w:rPr>
          <w:iCs/>
        </w:rPr>
        <w:t xml:space="preserve">the </w:t>
      </w:r>
      <w:r w:rsidRPr="00275305" w:rsidR="00AD3F67">
        <w:rPr>
          <w:iCs/>
        </w:rPr>
        <w:t>microagglutination method</w:t>
      </w:r>
      <w:r w:rsidRPr="00275305" w:rsidR="002F27A1">
        <w:t xml:space="preserve">. This </w:t>
      </w:r>
      <w:proofErr w:type="gramStart"/>
      <w:r w:rsidRPr="00275305" w:rsidR="002F27A1">
        <w:t>assay</w:t>
      </w:r>
      <w:proofErr w:type="gramEnd"/>
      <w:r w:rsidRPr="00275305" w:rsidR="002F27A1">
        <w:t xml:space="preserve"> does not </w:t>
      </w:r>
      <w:r w:rsidRPr="00275305" w:rsidR="00AD3F67">
        <w:t xml:space="preserve">detect </w:t>
      </w:r>
      <w:r w:rsidRPr="00275305" w:rsidR="002F27A1">
        <w:t>antibod</w:t>
      </w:r>
      <w:r w:rsidRPr="00275305" w:rsidR="009F3122">
        <w:t>ies</w:t>
      </w:r>
      <w:r w:rsidRPr="00275305" w:rsidR="002F27A1">
        <w:t xml:space="preserve"> to </w:t>
      </w:r>
      <w:r w:rsidRPr="00275305" w:rsidR="002F27A1">
        <w:rPr>
          <w:i/>
        </w:rPr>
        <w:t xml:space="preserve">B. </w:t>
      </w:r>
      <w:proofErr w:type="spellStart"/>
      <w:r w:rsidRPr="00275305" w:rsidR="002F27A1">
        <w:rPr>
          <w:i/>
        </w:rPr>
        <w:t>canis</w:t>
      </w:r>
      <w:proofErr w:type="spellEnd"/>
      <w:r w:rsidRPr="00275305" w:rsidR="002F27A1">
        <w:t>.</w:t>
      </w:r>
    </w:p>
    <w:p w:rsidRPr="00275305" w:rsidR="00461151" w:rsidP="00025976" w:rsidRDefault="00461151" w14:paraId="2D8541E7" w14:textId="77777777">
      <w:pPr>
        <w:pStyle w:val="AZHeading2"/>
      </w:pPr>
      <w:r w:rsidRPr="00275305">
        <w:t>SPECIMEN COLLECTION AND SUBMISSION GUIDELINES:</w:t>
      </w:r>
    </w:p>
    <w:p w:rsidR="0021097E" w:rsidP="00025976" w:rsidRDefault="00461151" w14:paraId="09D05292" w14:textId="0EDFCF61">
      <w:pPr>
        <w:pStyle w:val="AZListParagraph"/>
        <w:rPr/>
      </w:pPr>
      <w:r w:rsidR="00461151">
        <w:rPr/>
        <w:t>Test Request Form</w:t>
      </w:r>
      <w:r w:rsidR="000326AC">
        <w:rPr/>
        <w:t>:</w:t>
      </w:r>
      <w:r w:rsidR="00461151">
        <w:rPr/>
        <w:t> </w:t>
      </w:r>
      <w:hyperlink r:id="Rde6cd654e7e14029">
        <w:r w:rsidRPr="70D7C5A6" w:rsidR="00CA05BA">
          <w:rPr>
            <w:rStyle w:val="Hyperlink"/>
            <w:color w:val="auto"/>
          </w:rPr>
          <w:t>MDHHS-6084</w:t>
        </w:r>
      </w:hyperlink>
      <w:r w:rsidR="0021097E">
        <w:rPr/>
        <w:t>.</w:t>
      </w:r>
    </w:p>
    <w:p w:rsidR="0021097E" w:rsidP="00025976" w:rsidRDefault="00DA4E30" w14:paraId="6894DAD9" w14:textId="77777777">
      <w:pPr>
        <w:pStyle w:val="AZListParagraph"/>
        <w:rPr/>
      </w:pPr>
      <w:hyperlink r:id="R97941204eeec4ffa">
        <w:r w:rsidRPr="70D7C5A6" w:rsidR="00DA4E30">
          <w:rPr>
            <w:rStyle w:val="Hyperlink"/>
            <w:color w:val="auto"/>
          </w:rPr>
          <w:t>Specimen Collection and Submission</w:t>
        </w:r>
      </w:hyperlink>
      <w:r w:rsidR="0021097E">
        <w:rPr/>
        <w:t>.</w:t>
      </w:r>
    </w:p>
    <w:p w:rsidR="0021097E" w:rsidP="00025976" w:rsidRDefault="004C46E5" w14:paraId="05E9A89E" w14:textId="77777777">
      <w:pPr>
        <w:pStyle w:val="AZListParagraph"/>
      </w:pPr>
      <w:r w:rsidRPr="00275305">
        <w:t xml:space="preserve">Transport Temperature: </w:t>
      </w:r>
      <w:r w:rsidRPr="00275305" w:rsidR="00E20148">
        <w:t xml:space="preserve">on </w:t>
      </w:r>
      <w:r w:rsidRPr="00275305" w:rsidR="00CA05BA">
        <w:t>frozen c</w:t>
      </w:r>
      <w:r w:rsidRPr="00275305" w:rsidR="00E03DB9">
        <w:t>old packs</w:t>
      </w:r>
      <w:r w:rsidRPr="00275305" w:rsidR="00E20148">
        <w:t xml:space="preserve"> or dry ice</w:t>
      </w:r>
      <w:r w:rsidR="00434A26">
        <w:t>, (</w:t>
      </w:r>
      <w:r w:rsidRPr="0021097E" w:rsidR="00434A26">
        <w:rPr>
          <w:u w:val="single"/>
        </w:rPr>
        <w:t>&lt;</w:t>
      </w:r>
      <w:r w:rsidR="00434A26">
        <w:t>8°C).</w:t>
      </w:r>
    </w:p>
    <w:p w:rsidRPr="00275305" w:rsidR="00461151" w:rsidP="00025976" w:rsidRDefault="00E12D31" w14:paraId="66D1C7E3" w14:textId="4443C44B">
      <w:pPr>
        <w:pStyle w:val="AZListParagraph"/>
      </w:pPr>
      <w:r w:rsidRPr="00275305">
        <w:t xml:space="preserve">No special patient preparation is required. </w:t>
      </w:r>
    </w:p>
    <w:p w:rsidRPr="00275305" w:rsidR="00461151" w:rsidP="00025976" w:rsidRDefault="00461151" w14:paraId="18EE481A" w14:textId="77777777">
      <w:pPr>
        <w:pStyle w:val="AZHeading2"/>
      </w:pPr>
      <w:r w:rsidRPr="00275305">
        <w:t>SPECIMEN TYPE:</w:t>
      </w:r>
    </w:p>
    <w:p w:rsidR="0021097E" w:rsidP="00025976" w:rsidRDefault="00C0500D" w14:paraId="205CDCC4" w14:textId="6CF011C9">
      <w:pPr>
        <w:pStyle w:val="AZListParagraph"/>
      </w:pPr>
      <w:r w:rsidRPr="00275305">
        <w:t>Specimen</w:t>
      </w:r>
      <w:r w:rsidRPr="00275305" w:rsidR="00D944AA">
        <w:t xml:space="preserve"> Required</w:t>
      </w:r>
      <w:r w:rsidRPr="00275305" w:rsidR="00711218">
        <w:t>:</w:t>
      </w:r>
      <w:r w:rsidRPr="00275305" w:rsidR="002F27A1">
        <w:t xml:space="preserve"> Serum</w:t>
      </w:r>
      <w:r w:rsidRPr="00275305" w:rsidR="00DA2AA8">
        <w:t>*</w:t>
      </w:r>
      <w:r w:rsidR="0021097E">
        <w:t>.</w:t>
      </w:r>
    </w:p>
    <w:p w:rsidR="0021097E" w:rsidP="00025976" w:rsidRDefault="004C46E5" w14:paraId="623EE06B" w14:textId="213442B6">
      <w:pPr>
        <w:pStyle w:val="AZListParagraph"/>
      </w:pPr>
      <w:r w:rsidRPr="00275305">
        <w:t>Minimum Acceptable Volume:</w:t>
      </w:r>
      <w:r w:rsidRPr="00275305" w:rsidR="002F27A1">
        <w:t xml:space="preserve"> 1.0 m</w:t>
      </w:r>
      <w:r w:rsidR="0021097E">
        <w:t>L.</w:t>
      </w:r>
    </w:p>
    <w:p w:rsidR="0021097E" w:rsidP="00025976" w:rsidRDefault="00711218" w14:paraId="2AFCC7D7" w14:textId="77777777">
      <w:pPr>
        <w:pStyle w:val="AZListParagraph"/>
      </w:pPr>
      <w:r w:rsidRPr="00275305">
        <w:t>Container:</w:t>
      </w:r>
      <w:r w:rsidRPr="00275305" w:rsidR="002F27A1">
        <w:t xml:space="preserve"> </w:t>
      </w:r>
      <w:r w:rsidRPr="00275305" w:rsidR="0068226D">
        <w:t>3 m</w:t>
      </w:r>
      <w:r w:rsidR="0021097E">
        <w:t>L</w:t>
      </w:r>
      <w:r w:rsidRPr="00275305" w:rsidR="0068226D">
        <w:t xml:space="preserve"> polypropylene </w:t>
      </w:r>
      <w:r w:rsidRPr="00275305" w:rsidR="00CF4C15">
        <w:t xml:space="preserve">screw capped </w:t>
      </w:r>
      <w:r w:rsidRPr="00275305" w:rsidR="0068226D">
        <w:t>tube</w:t>
      </w:r>
      <w:r w:rsidRPr="00275305" w:rsidR="00931A8C">
        <w:t xml:space="preserve"> or serum separator tube.</w:t>
      </w:r>
    </w:p>
    <w:p w:rsidRPr="00275305" w:rsidR="00711218" w:rsidP="00025976" w:rsidRDefault="00711218" w14:paraId="125C2E0A" w14:textId="06C41240">
      <w:pPr>
        <w:pStyle w:val="AZListParagraph"/>
      </w:pPr>
      <w:r w:rsidRPr="00275305">
        <w:t>Shipping Unit:</w:t>
      </w:r>
      <w:r w:rsidRPr="00275305" w:rsidR="002F27A1">
        <w:t xml:space="preserve"> Unit 8</w:t>
      </w:r>
      <w:r w:rsidRPr="00275305" w:rsidR="00CA05BA">
        <w:t>A</w:t>
      </w:r>
      <w:r w:rsidR="0021097E">
        <w:t>.</w:t>
      </w:r>
    </w:p>
    <w:p w:rsidRPr="00025976" w:rsidR="00DA2AA8" w:rsidP="002F18AB" w:rsidRDefault="002F18AB" w14:paraId="547AF058" w14:textId="7BAB14A9">
      <w:pPr>
        <w:pStyle w:val="AZNormalBody"/>
        <w:spacing w:line="240" w:lineRule="auto"/>
        <w:rPr>
          <w:b/>
          <w:bCs/>
        </w:rPr>
      </w:pPr>
      <w:r>
        <w:rPr>
          <w:b/>
          <w:bCs/>
        </w:rPr>
        <w:t>*</w:t>
      </w:r>
      <w:r w:rsidRPr="00025976" w:rsidR="00DA2AA8">
        <w:rPr>
          <w:b/>
          <w:bCs/>
        </w:rPr>
        <w:t>Note: for occupational exposure testing</w:t>
      </w:r>
      <w:r w:rsidRPr="00025976" w:rsidR="00655AA1">
        <w:rPr>
          <w:b/>
          <w:bCs/>
        </w:rPr>
        <w:t>,</w:t>
      </w:r>
      <w:r w:rsidRPr="00025976" w:rsidR="00DA2AA8">
        <w:rPr>
          <w:b/>
          <w:bCs/>
        </w:rPr>
        <w:t xml:space="preserve"> </w:t>
      </w:r>
      <w:r w:rsidRPr="00025976" w:rsidR="00655AA1">
        <w:rPr>
          <w:b/>
          <w:bCs/>
        </w:rPr>
        <w:t xml:space="preserve">CDC </w:t>
      </w:r>
      <w:r w:rsidRPr="00025976" w:rsidR="00DA2AA8">
        <w:rPr>
          <w:b/>
          <w:bCs/>
        </w:rPr>
        <w:t>recommend</w:t>
      </w:r>
      <w:r w:rsidRPr="00025976" w:rsidR="00655AA1">
        <w:rPr>
          <w:b/>
          <w:bCs/>
        </w:rPr>
        <w:t xml:space="preserve">s sequential serologic testing at </w:t>
      </w:r>
      <w:r w:rsidRPr="00025976" w:rsidR="00DA2AA8">
        <w:rPr>
          <w:b/>
          <w:bCs/>
        </w:rPr>
        <w:t xml:space="preserve">0 (baseline), </w:t>
      </w:r>
      <w:r w:rsidRPr="00025976" w:rsidR="00516048">
        <w:rPr>
          <w:b/>
          <w:bCs/>
        </w:rPr>
        <w:t>6-, 12-, 18-, and 24-weeks</w:t>
      </w:r>
      <w:r w:rsidRPr="00025976" w:rsidR="00655AA1">
        <w:rPr>
          <w:b/>
          <w:bCs/>
        </w:rPr>
        <w:t xml:space="preserve"> post exposure. </w:t>
      </w:r>
    </w:p>
    <w:p w:rsidRPr="00275305" w:rsidR="00D944AA" w:rsidP="00025976" w:rsidRDefault="008A09CA" w14:paraId="0B634234" w14:textId="77777777">
      <w:pPr>
        <w:pStyle w:val="AZHeading2"/>
      </w:pPr>
      <w:r w:rsidRPr="00275305">
        <w:t>SPECIMEN REJECTION CRITERIA:</w:t>
      </w:r>
    </w:p>
    <w:p w:rsidR="0021097E" w:rsidP="00025976" w:rsidRDefault="00DA2AA8" w14:paraId="7AE142F6" w14:textId="77777777">
      <w:pPr>
        <w:pStyle w:val="AZListParagraph"/>
      </w:pPr>
      <w:r w:rsidRPr="00275305">
        <w:t>Specimens lacking two u</w:t>
      </w:r>
      <w:r w:rsidRPr="00275305" w:rsidR="00252B98">
        <w:t>nique p</w:t>
      </w:r>
      <w:r w:rsidRPr="00275305" w:rsidR="002A2998">
        <w:t>atient identifier</w:t>
      </w:r>
      <w:r w:rsidRPr="00275305">
        <w:t>s (i.e., full name, date of birth) will not be tested.</w:t>
      </w:r>
    </w:p>
    <w:p w:rsidR="0021097E" w:rsidP="00025976" w:rsidRDefault="00434A26" w14:paraId="07B8549C" w14:textId="77777777">
      <w:pPr>
        <w:pStyle w:val="AZListParagraph"/>
      </w:pPr>
      <w:r w:rsidRPr="000F58E2">
        <w:t>Specimens received outside of appropriate transport temperature may not be tested.</w:t>
      </w:r>
    </w:p>
    <w:p w:rsidR="0021097E" w:rsidP="00025976" w:rsidRDefault="00943911" w14:paraId="015D8566" w14:textId="77777777">
      <w:pPr>
        <w:pStyle w:val="AZListParagraph"/>
      </w:pPr>
      <w:r>
        <w:t>Specimen is leaking.</w:t>
      </w:r>
    </w:p>
    <w:p w:rsidRPr="00275305" w:rsidR="00711218" w:rsidP="00025976" w:rsidRDefault="00DA2AA8" w14:paraId="3B650CED" w14:textId="0850292B">
      <w:pPr>
        <w:pStyle w:val="AZListParagraph"/>
      </w:pPr>
      <w:r w:rsidRPr="00275305">
        <w:t xml:space="preserve">Plasma, </w:t>
      </w:r>
      <w:r w:rsidRPr="00275305" w:rsidR="00943CEB">
        <w:t>lipemic,</w:t>
      </w:r>
      <w:r w:rsidRPr="00275305">
        <w:t xml:space="preserve"> grossly hemolyzed</w:t>
      </w:r>
      <w:r w:rsidRPr="00275305" w:rsidR="00035783">
        <w:t>, or contaminated</w:t>
      </w:r>
      <w:r w:rsidRPr="00275305">
        <w:t xml:space="preserve"> specimens are unacceptable for testing and will be reported as Unsatisfactory.</w:t>
      </w:r>
    </w:p>
    <w:p w:rsidRPr="00275305" w:rsidR="00711218" w:rsidP="00025976" w:rsidRDefault="00711218" w14:paraId="2EADA8DB" w14:textId="77777777">
      <w:pPr>
        <w:pStyle w:val="AZHeading2"/>
      </w:pPr>
      <w:r w:rsidRPr="00275305">
        <w:t>TEST PER</w:t>
      </w:r>
      <w:r w:rsidRPr="00275305" w:rsidR="00D944AA">
        <w:t>F</w:t>
      </w:r>
      <w:r w:rsidRPr="00275305">
        <w:t>ORMED:</w:t>
      </w:r>
    </w:p>
    <w:p w:rsidR="0021097E" w:rsidP="00025976" w:rsidRDefault="00D944AA" w14:paraId="5E2E7706" w14:textId="46075FA6">
      <w:pPr>
        <w:pStyle w:val="AZListParagraph"/>
      </w:pPr>
      <w:r w:rsidRPr="00275305">
        <w:t>Methodology:</w:t>
      </w:r>
      <w:r w:rsidRPr="00275305" w:rsidR="002A2998">
        <w:t xml:space="preserve"> Microagglutination</w:t>
      </w:r>
      <w:r w:rsidR="0021097E">
        <w:t>.</w:t>
      </w:r>
    </w:p>
    <w:p w:rsidR="0021097E" w:rsidP="00025976" w:rsidRDefault="00C0500D" w14:paraId="672C05A1" w14:textId="77777777">
      <w:pPr>
        <w:pStyle w:val="AZListParagraph"/>
      </w:pPr>
      <w:r w:rsidRPr="00275305">
        <w:t>Turn</w:t>
      </w:r>
      <w:r w:rsidR="0021097E">
        <w:t xml:space="preserve">around </w:t>
      </w:r>
      <w:r w:rsidRPr="00275305" w:rsidR="00D944AA">
        <w:t>Time:</w:t>
      </w:r>
      <w:r w:rsidRPr="00275305" w:rsidR="002A2998">
        <w:t xml:space="preserve"> </w:t>
      </w:r>
      <w:r w:rsidRPr="00275305" w:rsidR="00E20148">
        <w:t>2-</w:t>
      </w:r>
      <w:r w:rsidRPr="00275305" w:rsidR="00CA05BA">
        <w:t xml:space="preserve">5 </w:t>
      </w:r>
      <w:r w:rsidRPr="00275305" w:rsidR="009F3122">
        <w:t>days.</w:t>
      </w:r>
      <w:r w:rsidRPr="00275305" w:rsidR="00E13139">
        <w:t xml:space="preserve"> </w:t>
      </w:r>
    </w:p>
    <w:p w:rsidRPr="00243845" w:rsidR="002F18AB" w:rsidP="002F18AB" w:rsidRDefault="002F18AB" w14:paraId="1F6F857D" w14:textId="77777777">
      <w:pPr>
        <w:pStyle w:val="AZListParagraph"/>
      </w:pPr>
      <w:r>
        <w:t>Testing is performed at the Bureau of Laboratories, Monday-Friday.</w:t>
      </w:r>
    </w:p>
    <w:p w:rsidRPr="00275305" w:rsidR="00D944AA" w:rsidP="00025976" w:rsidRDefault="00D944AA" w14:paraId="7EC9C185" w14:textId="77777777">
      <w:pPr>
        <w:pStyle w:val="AZHeading2"/>
      </w:pPr>
      <w:r w:rsidRPr="00275305">
        <w:t>RESULT INTERPRETATION:</w:t>
      </w:r>
    </w:p>
    <w:p w:rsidRPr="00275305" w:rsidR="0077690C" w:rsidP="002F18AB" w:rsidRDefault="00C0500D" w14:paraId="58A13B71" w14:textId="61786B52">
      <w:pPr>
        <w:pStyle w:val="AZNormalBody"/>
        <w:spacing w:after="0"/>
      </w:pPr>
      <w:r w:rsidRPr="00275305">
        <w:t>Reference Range:</w:t>
      </w:r>
      <w:r w:rsidRPr="00275305" w:rsidR="00DD1927">
        <w:t xml:space="preserve"> N</w:t>
      </w:r>
      <w:r w:rsidRPr="00275305" w:rsidR="00DC641F">
        <w:t>onreactive at 1:20 dilution</w:t>
      </w:r>
      <w:r w:rsidRPr="00275305" w:rsidR="00D03385">
        <w:t xml:space="preserve"> (no antibody detected)</w:t>
      </w:r>
      <w:r w:rsidR="005E4F45">
        <w:t>.</w:t>
      </w:r>
    </w:p>
    <w:p w:rsidRPr="00275305" w:rsidR="00D03385" w:rsidP="00AE6954" w:rsidRDefault="00D03385" w14:paraId="3C723E1C" w14:textId="77777777">
      <w:pPr>
        <w:pStyle w:val="AZListParagraph"/>
      </w:pPr>
      <w:r w:rsidRPr="00275305">
        <w:t>Reactive Result:</w:t>
      </w:r>
    </w:p>
    <w:p w:rsidRPr="00275305" w:rsidR="0068226D" w:rsidP="00AE6954" w:rsidRDefault="00D44ACF" w14:paraId="62B67F77" w14:textId="1ABC0FA1">
      <w:pPr>
        <w:pStyle w:val="AZListParagraph"/>
        <w:numPr>
          <w:ilvl w:val="1"/>
          <w:numId w:val="7"/>
        </w:numPr>
      </w:pPr>
      <w:proofErr w:type="gramStart"/>
      <w:r w:rsidRPr="00275305">
        <w:t>A result</w:t>
      </w:r>
      <w:proofErr w:type="gramEnd"/>
      <w:r w:rsidRPr="00275305">
        <w:t xml:space="preserve"> of &lt; 1:20 </w:t>
      </w:r>
      <w:r w:rsidRPr="00275305" w:rsidR="00C16FA9">
        <w:t>indicate</w:t>
      </w:r>
      <w:r w:rsidRPr="00275305" w:rsidR="0068226D">
        <w:t>s</w:t>
      </w:r>
      <w:r w:rsidRPr="00275305">
        <w:t xml:space="preserve"> no serologic evidence of </w:t>
      </w:r>
      <w:r w:rsidRPr="00275305" w:rsidR="0068226D">
        <w:t>b</w:t>
      </w:r>
      <w:r w:rsidRPr="00275305">
        <w:t>rucellosis however, the timing of specimen collection in conjunction with clinical signs and symptoms must be considered. If clinical suspicion persists, another specimen collected 2-3 weeks after the initial draw date should be submitted for testing.</w:t>
      </w:r>
    </w:p>
    <w:p w:rsidRPr="00275305" w:rsidR="00D03385" w:rsidP="00AE6954" w:rsidRDefault="00D03385" w14:paraId="0E44D452" w14:textId="77777777">
      <w:pPr>
        <w:pStyle w:val="AZListParagraph"/>
      </w:pPr>
      <w:r w:rsidRPr="00275305">
        <w:t>Non-reactive Result:</w:t>
      </w:r>
    </w:p>
    <w:p w:rsidRPr="00275305" w:rsidR="00D03385" w:rsidP="00AE6954" w:rsidRDefault="00D03385" w14:paraId="5AA32FBA" w14:textId="2CCEB8DD">
      <w:pPr>
        <w:pStyle w:val="AZListParagraph"/>
        <w:numPr>
          <w:ilvl w:val="1"/>
          <w:numId w:val="7"/>
        </w:numPr>
      </w:pPr>
      <w:r w:rsidRPr="00275305">
        <w:t xml:space="preserve">Indicates no serologic evidence of exposure to </w:t>
      </w:r>
      <w:r w:rsidRPr="00275305">
        <w:rPr>
          <w:i/>
        </w:rPr>
        <w:t xml:space="preserve">Brucella </w:t>
      </w:r>
      <w:r w:rsidRPr="00275305">
        <w:t>species.</w:t>
      </w:r>
    </w:p>
    <w:p w:rsidRPr="00275305" w:rsidR="003F281C" w:rsidP="00AE6954" w:rsidRDefault="003F281C" w14:paraId="392255EE" w14:textId="55F6D70F">
      <w:pPr>
        <w:pStyle w:val="AZListParagraph"/>
      </w:pPr>
      <w:r w:rsidRPr="00275305">
        <w:t xml:space="preserve">The </w:t>
      </w:r>
      <w:r w:rsidRPr="00275305">
        <w:rPr>
          <w:i/>
        </w:rPr>
        <w:t>Brucella</w:t>
      </w:r>
      <w:r w:rsidRPr="00275305">
        <w:t xml:space="preserve"> MAT provides a presumptive serologic diagnosis.  </w:t>
      </w:r>
      <w:r w:rsidRPr="00275305" w:rsidR="0077690C">
        <w:t xml:space="preserve">Total antibody titers </w:t>
      </w:r>
      <w:r w:rsidRPr="00275305" w:rsidR="00B7092E">
        <w:t xml:space="preserve">≥ </w:t>
      </w:r>
      <w:r w:rsidRPr="00275305" w:rsidR="0077690C">
        <w:t xml:space="preserve">1:160 </w:t>
      </w:r>
      <w:proofErr w:type="gramStart"/>
      <w:r w:rsidRPr="00275305" w:rsidR="0077690C">
        <w:t>is</w:t>
      </w:r>
      <w:proofErr w:type="gramEnd"/>
      <w:r w:rsidRPr="00275305" w:rsidR="0077690C">
        <w:t xml:space="preserve"> suggestive of recent or c</w:t>
      </w:r>
      <w:r w:rsidRPr="00275305" w:rsidR="00A371D7">
        <w:t xml:space="preserve">hronic </w:t>
      </w:r>
      <w:r w:rsidRPr="00275305" w:rsidR="00386AD1">
        <w:rPr>
          <w:i/>
        </w:rPr>
        <w:t>B</w:t>
      </w:r>
      <w:r w:rsidRPr="00275305" w:rsidR="00A371D7">
        <w:rPr>
          <w:i/>
        </w:rPr>
        <w:t>rucella</w:t>
      </w:r>
      <w:r w:rsidRPr="00275305" w:rsidR="00A371D7">
        <w:t xml:space="preserve"> </w:t>
      </w:r>
      <w:r w:rsidRPr="00275305" w:rsidR="0077690C">
        <w:t>infection</w:t>
      </w:r>
      <w:r w:rsidRPr="00275305" w:rsidR="00A371D7">
        <w:t xml:space="preserve"> when accompanied by a compatible history</w:t>
      </w:r>
      <w:r w:rsidRPr="00275305" w:rsidR="0077690C">
        <w:t xml:space="preserve">. </w:t>
      </w:r>
    </w:p>
    <w:p w:rsidRPr="00275305" w:rsidR="00252B98" w:rsidP="00AE6954" w:rsidRDefault="0077690C" w14:paraId="4B17F9E8" w14:textId="2EBF1F90">
      <w:pPr>
        <w:pStyle w:val="AZListParagraph"/>
      </w:pPr>
      <w:r w:rsidRPr="00275305">
        <w:t xml:space="preserve">Total antibody titers </w:t>
      </w:r>
      <w:r w:rsidRPr="00275305" w:rsidR="001E497B">
        <w:t>≥</w:t>
      </w:r>
      <w:r w:rsidRPr="00275305" w:rsidR="009943E0">
        <w:t xml:space="preserve"> 1:20 and </w:t>
      </w:r>
      <w:r w:rsidRPr="00275305">
        <w:t>&lt; 1:160</w:t>
      </w:r>
      <w:r w:rsidRPr="00275305" w:rsidR="00D03385">
        <w:t xml:space="preserve"> indicate</w:t>
      </w:r>
      <w:r w:rsidRPr="00275305" w:rsidR="001E497B">
        <w:t xml:space="preserve"> low level agglutinating antibodies are present in the specimen</w:t>
      </w:r>
      <w:r w:rsidRPr="00275305" w:rsidR="00D03385">
        <w:t xml:space="preserve">. This may be caused by </w:t>
      </w:r>
      <w:r w:rsidRPr="00275305" w:rsidR="009943E0">
        <w:t>recent or past exposure</w:t>
      </w:r>
      <w:r w:rsidRPr="00275305" w:rsidR="00BE1B78">
        <w:t>,</w:t>
      </w:r>
      <w:r w:rsidRPr="00275305" w:rsidR="00C16FA9">
        <w:t xml:space="preserve"> but </w:t>
      </w:r>
      <w:r w:rsidRPr="00275305" w:rsidR="001E497B">
        <w:t xml:space="preserve">results </w:t>
      </w:r>
      <w:r w:rsidRPr="00275305" w:rsidR="00C16FA9">
        <w:t>are inconclusive</w:t>
      </w:r>
      <w:r w:rsidRPr="00275305" w:rsidR="009943E0">
        <w:t xml:space="preserve">. Please submit a convalescent serum </w:t>
      </w:r>
      <w:r w:rsidRPr="00275305" w:rsidR="00A371D7">
        <w:t>drawn 2-3</w:t>
      </w:r>
      <w:r w:rsidRPr="00275305" w:rsidR="009943E0">
        <w:t xml:space="preserve"> weeks </w:t>
      </w:r>
      <w:r w:rsidRPr="00275305" w:rsidR="00A371D7">
        <w:t xml:space="preserve">after </w:t>
      </w:r>
      <w:r w:rsidRPr="00275305" w:rsidR="00D03385">
        <w:t>the initial draw date t</w:t>
      </w:r>
      <w:r w:rsidRPr="00275305" w:rsidR="00A371D7">
        <w:t>o aid in serologic diagnosis.</w:t>
      </w:r>
    </w:p>
    <w:p w:rsidRPr="00275305" w:rsidR="00252B98" w:rsidP="00AE6954" w:rsidRDefault="00252B98" w14:paraId="11998A91" w14:textId="43FC9A72">
      <w:pPr>
        <w:pStyle w:val="AZListParagraph"/>
      </w:pPr>
      <w:r w:rsidRPr="00275305">
        <w:t xml:space="preserve">A four-fold or greater </w:t>
      </w:r>
      <w:r w:rsidRPr="00275305" w:rsidR="00D44ACF">
        <w:t xml:space="preserve">difference </w:t>
      </w:r>
      <w:r w:rsidRPr="00275305">
        <w:t xml:space="preserve">in titer between acute and convalescent </w:t>
      </w:r>
      <w:r w:rsidRPr="00275305" w:rsidR="0068226D">
        <w:t>sera,</w:t>
      </w:r>
      <w:r w:rsidRPr="00275305">
        <w:t xml:space="preserve"> collected 14-21 days apart </w:t>
      </w:r>
      <w:r w:rsidRPr="00275305" w:rsidR="00386AD1">
        <w:t>(</w:t>
      </w:r>
      <w:r w:rsidRPr="00275305" w:rsidR="0068226D">
        <w:t xml:space="preserve">with at least one titer </w:t>
      </w:r>
      <w:r w:rsidRPr="00275305" w:rsidR="0068226D">
        <w:rPr>
          <w:u w:val="single"/>
        </w:rPr>
        <w:t>&gt;</w:t>
      </w:r>
      <w:r w:rsidRPr="00275305" w:rsidR="0068226D">
        <w:t>1:160</w:t>
      </w:r>
      <w:r w:rsidRPr="00275305" w:rsidR="00386AD1">
        <w:t>)</w:t>
      </w:r>
      <w:r w:rsidRPr="00275305" w:rsidR="0068226D">
        <w:t xml:space="preserve">, </w:t>
      </w:r>
      <w:r w:rsidRPr="00275305">
        <w:t xml:space="preserve">is consistent with </w:t>
      </w:r>
      <w:r w:rsidRPr="00275305" w:rsidR="00D44ACF">
        <w:t>acute infection</w:t>
      </w:r>
      <w:r w:rsidRPr="00275305">
        <w:t>.</w:t>
      </w:r>
    </w:p>
    <w:p w:rsidR="0021097E" w:rsidP="00AE6954" w:rsidRDefault="00C0500D" w14:paraId="771CE404" w14:textId="77777777">
      <w:pPr>
        <w:pStyle w:val="AZHeading2"/>
      </w:pPr>
      <w:r w:rsidRPr="00275305">
        <w:t>FEES</w:t>
      </w:r>
      <w:r w:rsidRPr="00275305" w:rsidR="0021097E">
        <w:t xml:space="preserve">: </w:t>
      </w:r>
    </w:p>
    <w:p w:rsidRPr="00275305" w:rsidR="00C0500D" w:rsidP="00AE6954" w:rsidRDefault="0021097E" w14:paraId="354C7A5C" w14:textId="411713A1">
      <w:pPr>
        <w:pStyle w:val="AZNormalBody"/>
      </w:pPr>
      <w:r w:rsidRPr="00275305">
        <w:t>N</w:t>
      </w:r>
      <w:r w:rsidR="006A7885">
        <w:t>ot Applicable.</w:t>
      </w:r>
    </w:p>
    <w:p w:rsidRPr="00275305" w:rsidR="00535DFC" w:rsidP="00AE6954" w:rsidRDefault="00D944AA" w14:paraId="51FEDEEE" w14:textId="77777777">
      <w:pPr>
        <w:pStyle w:val="AZHeading2"/>
      </w:pPr>
      <w:r w:rsidRPr="00275305">
        <w:t>NOTES:</w:t>
      </w:r>
    </w:p>
    <w:p w:rsidRPr="00275305" w:rsidR="00535DFC" w:rsidP="00AE6954" w:rsidRDefault="0021097E" w14:paraId="39BB438D" w14:textId="7987F005">
      <w:pPr>
        <w:pStyle w:val="AZListParagraph"/>
      </w:pPr>
      <w:r w:rsidRPr="00275305">
        <w:t>Laboratory</w:t>
      </w:r>
      <w:r w:rsidRPr="00275305" w:rsidR="00535DFC">
        <w:t xml:space="preserve"> confirmation requires </w:t>
      </w:r>
      <w:r w:rsidRPr="00275305">
        <w:t>a</w:t>
      </w:r>
      <w:r w:rsidRPr="00275305" w:rsidR="00535DFC">
        <w:t xml:space="preserve"> direct demonstration of </w:t>
      </w:r>
      <w:r w:rsidRPr="00275305" w:rsidR="00535DFC">
        <w:rPr>
          <w:i/>
          <w:iCs/>
        </w:rPr>
        <w:t xml:space="preserve">Brucella </w:t>
      </w:r>
      <w:r w:rsidRPr="00275305" w:rsidR="00535DFC">
        <w:t xml:space="preserve">spp. </w:t>
      </w:r>
      <w:r w:rsidRPr="00275305">
        <w:t>I</w:t>
      </w:r>
      <w:r w:rsidRPr="00275305" w:rsidR="00535DFC">
        <w:t>n</w:t>
      </w:r>
      <w:r>
        <w:t xml:space="preserve"> </w:t>
      </w:r>
      <w:r w:rsidRPr="00275305" w:rsidR="00535DFC">
        <w:t>the patient specimen.</w:t>
      </w:r>
    </w:p>
    <w:p w:rsidRPr="00275305" w:rsidR="004D0BA5" w:rsidP="00AE6954" w:rsidRDefault="00535DFC" w14:paraId="1328017D" w14:textId="215DD801">
      <w:pPr>
        <w:pStyle w:val="AZListParagraph"/>
      </w:pPr>
      <w:r w:rsidRPr="00275305">
        <w:t xml:space="preserve">Cross-reactions have been observed </w:t>
      </w:r>
      <w:r w:rsidRPr="00275305" w:rsidR="00D44ACF">
        <w:t xml:space="preserve">in </w:t>
      </w:r>
      <w:r w:rsidRPr="00275305">
        <w:t xml:space="preserve">serum from individuals with </w:t>
      </w:r>
      <w:proofErr w:type="spellStart"/>
      <w:r w:rsidRPr="00275305">
        <w:rPr>
          <w:i/>
          <w:iCs/>
        </w:rPr>
        <w:t>Afipia</w:t>
      </w:r>
      <w:proofErr w:type="spellEnd"/>
      <w:r w:rsidRPr="00275305">
        <w:rPr>
          <w:i/>
          <w:iCs/>
        </w:rPr>
        <w:t xml:space="preserve"> </w:t>
      </w:r>
      <w:proofErr w:type="spellStart"/>
      <w:r w:rsidRPr="00275305">
        <w:rPr>
          <w:i/>
          <w:iCs/>
        </w:rPr>
        <w:t>clevelandensis</w:t>
      </w:r>
      <w:proofErr w:type="spellEnd"/>
      <w:r w:rsidRPr="00275305">
        <w:rPr>
          <w:i/>
          <w:iCs/>
        </w:rPr>
        <w:t xml:space="preserve">, </w:t>
      </w:r>
      <w:r w:rsidRPr="00275305" w:rsidR="00912341">
        <w:rPr>
          <w:i/>
          <w:iCs/>
        </w:rPr>
        <w:t>Escherichia</w:t>
      </w:r>
      <w:r w:rsidRPr="00275305" w:rsidR="00A371D7">
        <w:rPr>
          <w:i/>
          <w:iCs/>
        </w:rPr>
        <w:t xml:space="preserve"> coli O:157, </w:t>
      </w:r>
      <w:proofErr w:type="spellStart"/>
      <w:r w:rsidRPr="00275305">
        <w:rPr>
          <w:i/>
          <w:iCs/>
        </w:rPr>
        <w:t>Francisella</w:t>
      </w:r>
      <w:proofErr w:type="spellEnd"/>
      <w:r w:rsidRPr="00275305">
        <w:rPr>
          <w:i/>
          <w:iCs/>
        </w:rPr>
        <w:t xml:space="preserve"> tularensis, Vibrio cholerae</w:t>
      </w:r>
      <w:r w:rsidRPr="00275305">
        <w:t xml:space="preserve">, and </w:t>
      </w:r>
      <w:r w:rsidRPr="00275305">
        <w:rPr>
          <w:i/>
          <w:iCs/>
        </w:rPr>
        <w:t>Ye</w:t>
      </w:r>
      <w:r w:rsidR="00481CC5">
        <w:rPr>
          <w:i/>
          <w:iCs/>
        </w:rPr>
        <w:t>r</w:t>
      </w:r>
      <w:r w:rsidRPr="00275305">
        <w:rPr>
          <w:i/>
          <w:iCs/>
        </w:rPr>
        <w:t>sinia enterocolitica</w:t>
      </w:r>
      <w:r w:rsidRPr="00275305">
        <w:t xml:space="preserve"> serotype 0:9</w:t>
      </w:r>
      <w:r w:rsidRPr="00275305" w:rsidR="00C16FA9">
        <w:t xml:space="preserve"> antibodies</w:t>
      </w:r>
      <w:r w:rsidRPr="00275305">
        <w:t xml:space="preserve">, and especially from individuals vaccinated against </w:t>
      </w:r>
      <w:r w:rsidRPr="00275305" w:rsidR="00A371D7">
        <w:rPr>
          <w:i/>
        </w:rPr>
        <w:t xml:space="preserve">Vibrio </w:t>
      </w:r>
      <w:r w:rsidRPr="00275305">
        <w:rPr>
          <w:i/>
        </w:rPr>
        <w:t>cholera</w:t>
      </w:r>
      <w:r w:rsidRPr="00275305">
        <w:t>.</w:t>
      </w:r>
    </w:p>
    <w:p w:rsidRPr="00275305" w:rsidR="00C0500D" w:rsidP="00461151" w:rsidRDefault="004D0BA5" w14:paraId="720255E9" w14:textId="28345331">
      <w:pPr>
        <w:pStyle w:val="AZListParagraph"/>
      </w:pPr>
      <w:r w:rsidRPr="00275305">
        <w:t>This assay was developed by the Center for Disease Control and Prevention (CDC) Laboratory Response Network (LRN) and is not cleared or approved by the U.S. Food and Drug Administration. The FDA has determined that such clearance or approval is not necessary if performance characteristics are verified at the testing laboratory.</w:t>
      </w:r>
      <w:r w:rsidRPr="00275305" w:rsidR="003D2B4F">
        <w:t xml:space="preserve"> </w:t>
      </w:r>
    </w:p>
    <w:p w:rsidR="0021097E" w:rsidP="00AE6954" w:rsidRDefault="00C0500D" w14:paraId="0F631244" w14:textId="77777777">
      <w:pPr>
        <w:pStyle w:val="AZHeading2"/>
      </w:pPr>
      <w:r w:rsidRPr="00AE6954">
        <w:rPr>
          <w:rStyle w:val="SubtitleChar"/>
          <w:rFonts w:ascii="Arial" w:hAnsi="Arial" w:cs="Arial"/>
          <w:color w:val="0F406B"/>
          <w:spacing w:val="0"/>
          <w:sz w:val="24"/>
          <w:szCs w:val="32"/>
        </w:rPr>
        <w:t>ALIASES</w:t>
      </w:r>
      <w:r w:rsidRPr="00275305" w:rsidR="0021097E">
        <w:rPr>
          <w:color w:val="006666"/>
        </w:rPr>
        <w:t>:</w:t>
      </w:r>
      <w:r w:rsidRPr="00275305" w:rsidR="0021097E">
        <w:t xml:space="preserve"> </w:t>
      </w:r>
    </w:p>
    <w:p w:rsidRPr="00275305" w:rsidR="004D0BA5" w:rsidP="00AE6954" w:rsidRDefault="0021097E" w14:paraId="3DCAB96E" w14:textId="2B9F0EFE">
      <w:pPr>
        <w:pStyle w:val="AZNormalBody"/>
      </w:pPr>
      <w:r w:rsidRPr="002F18AB">
        <w:rPr>
          <w:i/>
          <w:iCs/>
        </w:rPr>
        <w:t>Brucella</w:t>
      </w:r>
      <w:r w:rsidRPr="00275305" w:rsidR="003D2B4F">
        <w:t xml:space="preserve"> MAT, Brucellosis</w:t>
      </w:r>
      <w:r w:rsidR="00BE6961">
        <w:t>.</w:t>
      </w:r>
    </w:p>
    <w:sectPr w:rsidRPr="00275305" w:rsidR="004D0BA5" w:rsidSect="00476E42">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7EF" w:rsidRDefault="00EB37EF" w14:paraId="2A14379B" w14:textId="77777777">
      <w:r>
        <w:separator/>
      </w:r>
    </w:p>
  </w:endnote>
  <w:endnote w:type="continuationSeparator" w:id="0">
    <w:p w:rsidR="00EB37EF" w:rsidRDefault="00EB37EF" w14:paraId="4F80AE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6954" w:rsidR="0068226D" w:rsidP="00476E42" w:rsidRDefault="0021097E" w14:paraId="42468FFA" w14:textId="3746DDC1">
    <w:pPr>
      <w:pStyle w:val="Footer"/>
      <w:rPr>
        <w:rFonts w:ascii="Arial" w:hAnsi="Arial" w:cs="Arial"/>
      </w:rPr>
    </w:pPr>
    <w:r w:rsidRPr="00AE6954">
      <w:rPr>
        <w:rFonts w:ascii="Arial" w:hAnsi="Arial" w:cs="Arial"/>
      </w:rPr>
      <w:t xml:space="preserve">AZ.054  </w:t>
    </w:r>
    <w:sdt>
      <w:sdtPr>
        <w:rPr>
          <w:rFonts w:ascii="Arial" w:hAnsi="Arial" w:cs="Arial"/>
        </w:rPr>
        <w:id w:val="1728636285"/>
        <w:docPartObj>
          <w:docPartGallery w:val="Page Numbers (Top of Page)"/>
          <w:docPartUnique/>
        </w:docPartObj>
      </w:sdtPr>
      <w:sdtEndPr/>
      <w:sdtContent>
        <w:r w:rsidRPr="00AE6954">
          <w:rPr>
            <w:rFonts w:ascii="Arial" w:hAnsi="Arial" w:cs="Arial"/>
          </w:rPr>
          <w:tab/>
        </w:r>
        <w:r w:rsidRPr="00AE6954">
          <w:rPr>
            <w:rFonts w:ascii="Arial" w:hAnsi="Arial" w:cs="Arial"/>
          </w:rPr>
          <w:t xml:space="preserve">Page </w:t>
        </w:r>
        <w:r w:rsidRPr="00AE6954">
          <w:rPr>
            <w:rFonts w:ascii="Arial" w:hAnsi="Arial" w:cs="Arial"/>
            <w:b/>
            <w:bCs/>
          </w:rPr>
          <w:fldChar w:fldCharType="begin"/>
        </w:r>
        <w:r w:rsidRPr="00AE6954">
          <w:rPr>
            <w:rFonts w:ascii="Arial" w:hAnsi="Arial" w:cs="Arial"/>
            <w:b/>
            <w:bCs/>
          </w:rPr>
          <w:instrText xml:space="preserve"> PAGE </w:instrText>
        </w:r>
        <w:r w:rsidRPr="00AE6954">
          <w:rPr>
            <w:rFonts w:ascii="Arial" w:hAnsi="Arial" w:cs="Arial"/>
            <w:b/>
            <w:bCs/>
          </w:rPr>
          <w:fldChar w:fldCharType="separate"/>
        </w:r>
        <w:r w:rsidRPr="00AE6954">
          <w:rPr>
            <w:rFonts w:ascii="Arial" w:hAnsi="Arial" w:cs="Arial"/>
            <w:b/>
            <w:bCs/>
            <w:noProof/>
          </w:rPr>
          <w:t>2</w:t>
        </w:r>
        <w:r w:rsidRPr="00AE6954">
          <w:rPr>
            <w:rFonts w:ascii="Arial" w:hAnsi="Arial" w:cs="Arial"/>
            <w:b/>
            <w:bCs/>
          </w:rPr>
          <w:fldChar w:fldCharType="end"/>
        </w:r>
        <w:r w:rsidRPr="00AE6954">
          <w:rPr>
            <w:rFonts w:ascii="Arial" w:hAnsi="Arial" w:cs="Arial"/>
          </w:rPr>
          <w:t xml:space="preserve"> of </w:t>
        </w:r>
        <w:r w:rsidRPr="00AE6954">
          <w:rPr>
            <w:rFonts w:ascii="Arial" w:hAnsi="Arial" w:cs="Arial"/>
            <w:b/>
            <w:bCs/>
          </w:rPr>
          <w:fldChar w:fldCharType="begin"/>
        </w:r>
        <w:r w:rsidRPr="00AE6954">
          <w:rPr>
            <w:rFonts w:ascii="Arial" w:hAnsi="Arial" w:cs="Arial"/>
            <w:b/>
            <w:bCs/>
          </w:rPr>
          <w:instrText xml:space="preserve"> NUMPAGES  </w:instrText>
        </w:r>
        <w:r w:rsidRPr="00AE6954">
          <w:rPr>
            <w:rFonts w:ascii="Arial" w:hAnsi="Arial" w:cs="Arial"/>
            <w:b/>
            <w:bCs/>
          </w:rPr>
          <w:fldChar w:fldCharType="separate"/>
        </w:r>
        <w:r w:rsidRPr="00AE6954">
          <w:rPr>
            <w:rFonts w:ascii="Arial" w:hAnsi="Arial" w:cs="Arial"/>
            <w:b/>
            <w:bCs/>
            <w:noProof/>
          </w:rPr>
          <w:t>2</w:t>
        </w:r>
        <w:r w:rsidRPr="00AE6954">
          <w:rPr>
            <w:rFonts w:ascii="Arial" w:hAnsi="Arial" w:cs="Arial"/>
            <w:b/>
            <w:bCs/>
          </w:rPr>
          <w:fldChar w:fldCharType="end"/>
        </w:r>
      </w:sdtContent>
    </w:sdt>
    <w:r w:rsidRPr="00AE6954">
      <w:rPr>
        <w:rFonts w:ascii="Arial" w:hAnsi="Arial" w:cs="Arial"/>
      </w:rPr>
      <w:tab/>
    </w:r>
    <w:r w:rsidRPr="00AE6954">
      <w:rPr>
        <w:rFonts w:ascii="Arial" w:hAnsi="Arial" w:cs="Arial"/>
      </w:rPr>
      <w:t>Rev 01/29/2025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7EF" w:rsidRDefault="00EB37EF" w14:paraId="0722F5C6" w14:textId="77777777">
      <w:r>
        <w:separator/>
      </w:r>
    </w:p>
  </w:footnote>
  <w:footnote w:type="continuationSeparator" w:id="0">
    <w:p w:rsidR="00EB37EF" w:rsidRDefault="00EB37EF" w14:paraId="7A414CA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0C"/>
    <w:multiLevelType w:val="hybridMultilevel"/>
    <w:tmpl w:val="147AD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7F6E7C"/>
    <w:multiLevelType w:val="hybridMultilevel"/>
    <w:tmpl w:val="D42AD64A"/>
    <w:lvl w:ilvl="0" w:tplc="5FA81F7C">
      <w:start w:val="1"/>
      <w:numFmt w:val="bullet"/>
      <w:pStyle w:val="AZ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A14EC4"/>
    <w:multiLevelType w:val="hybridMultilevel"/>
    <w:tmpl w:val="E4DC62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C8D01C7"/>
    <w:multiLevelType w:val="hybridMultilevel"/>
    <w:tmpl w:val="ADF66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E6B24CA"/>
    <w:multiLevelType w:val="hybridMultilevel"/>
    <w:tmpl w:val="2B1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547B2"/>
    <w:multiLevelType w:val="hybridMultilevel"/>
    <w:tmpl w:val="8FA2B2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5F186D"/>
    <w:multiLevelType w:val="hybridMultilevel"/>
    <w:tmpl w:val="7C0C4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446DA9"/>
    <w:multiLevelType w:val="hybridMultilevel"/>
    <w:tmpl w:val="96B4D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8904BA4"/>
    <w:multiLevelType w:val="hybridMultilevel"/>
    <w:tmpl w:val="9A485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BDE1EA2"/>
    <w:multiLevelType w:val="hybridMultilevel"/>
    <w:tmpl w:val="4AF28632"/>
    <w:lvl w:ilvl="0" w:tplc="7A2ED4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385FF7"/>
    <w:multiLevelType w:val="hybridMultilevel"/>
    <w:tmpl w:val="17E29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130CA1"/>
    <w:multiLevelType w:val="hybridMultilevel"/>
    <w:tmpl w:val="80887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B0F3184"/>
    <w:multiLevelType w:val="hybridMultilevel"/>
    <w:tmpl w:val="4BEC06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97413036">
    <w:abstractNumId w:val="9"/>
  </w:num>
  <w:num w:numId="2" w16cid:durableId="1674530164">
    <w:abstractNumId w:val="10"/>
  </w:num>
  <w:num w:numId="3" w16cid:durableId="1373534672">
    <w:abstractNumId w:val="0"/>
  </w:num>
  <w:num w:numId="4" w16cid:durableId="1246181710">
    <w:abstractNumId w:val="5"/>
  </w:num>
  <w:num w:numId="5" w16cid:durableId="1197111561">
    <w:abstractNumId w:val="6"/>
  </w:num>
  <w:num w:numId="6" w16cid:durableId="1209024156">
    <w:abstractNumId w:val="3"/>
  </w:num>
  <w:num w:numId="7" w16cid:durableId="1277251976">
    <w:abstractNumId w:val="1"/>
  </w:num>
  <w:num w:numId="8" w16cid:durableId="793408460">
    <w:abstractNumId w:val="2"/>
  </w:num>
  <w:num w:numId="9" w16cid:durableId="1037782208">
    <w:abstractNumId w:val="4"/>
  </w:num>
  <w:num w:numId="10" w16cid:durableId="368186625">
    <w:abstractNumId w:val="12"/>
  </w:num>
  <w:num w:numId="11" w16cid:durableId="1150243573">
    <w:abstractNumId w:val="8"/>
  </w:num>
  <w:num w:numId="12" w16cid:durableId="1876379661">
    <w:abstractNumId w:val="11"/>
  </w:num>
  <w:num w:numId="13" w16cid:durableId="211539508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proofState w:spelling="clean" w:grammar="dirty"/>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51"/>
    <w:rsid w:val="00005418"/>
    <w:rsid w:val="00025976"/>
    <w:rsid w:val="000326AC"/>
    <w:rsid w:val="00035783"/>
    <w:rsid w:val="0005261C"/>
    <w:rsid w:val="000554A0"/>
    <w:rsid w:val="00076D66"/>
    <w:rsid w:val="00087AE3"/>
    <w:rsid w:val="0012074D"/>
    <w:rsid w:val="00180593"/>
    <w:rsid w:val="00180C7B"/>
    <w:rsid w:val="001E497B"/>
    <w:rsid w:val="001E7486"/>
    <w:rsid w:val="001F2B58"/>
    <w:rsid w:val="0021097E"/>
    <w:rsid w:val="00252B98"/>
    <w:rsid w:val="002650B9"/>
    <w:rsid w:val="00275305"/>
    <w:rsid w:val="00281FAB"/>
    <w:rsid w:val="002A2998"/>
    <w:rsid w:val="002F18AB"/>
    <w:rsid w:val="002F27A1"/>
    <w:rsid w:val="003011F3"/>
    <w:rsid w:val="00323A20"/>
    <w:rsid w:val="00324CCD"/>
    <w:rsid w:val="00386AD1"/>
    <w:rsid w:val="003D2B4F"/>
    <w:rsid w:val="003E03B6"/>
    <w:rsid w:val="003E13C6"/>
    <w:rsid w:val="003F1F9F"/>
    <w:rsid w:val="003F281C"/>
    <w:rsid w:val="00400306"/>
    <w:rsid w:val="00434A26"/>
    <w:rsid w:val="00442CF9"/>
    <w:rsid w:val="00461151"/>
    <w:rsid w:val="00474EF1"/>
    <w:rsid w:val="00476E42"/>
    <w:rsid w:val="00481CC5"/>
    <w:rsid w:val="004A1ACF"/>
    <w:rsid w:val="004C46E5"/>
    <w:rsid w:val="004D0BA5"/>
    <w:rsid w:val="0050104B"/>
    <w:rsid w:val="005073DB"/>
    <w:rsid w:val="00516048"/>
    <w:rsid w:val="00535DFC"/>
    <w:rsid w:val="0054382F"/>
    <w:rsid w:val="0058505D"/>
    <w:rsid w:val="005A4C9B"/>
    <w:rsid w:val="005A6FFD"/>
    <w:rsid w:val="005B60F9"/>
    <w:rsid w:val="005E4F45"/>
    <w:rsid w:val="00611920"/>
    <w:rsid w:val="00641EB7"/>
    <w:rsid w:val="00655AA1"/>
    <w:rsid w:val="0068226D"/>
    <w:rsid w:val="006977AD"/>
    <w:rsid w:val="006A7885"/>
    <w:rsid w:val="006C7EB8"/>
    <w:rsid w:val="006E520C"/>
    <w:rsid w:val="007020DB"/>
    <w:rsid w:val="00711218"/>
    <w:rsid w:val="00773DB1"/>
    <w:rsid w:val="0077690C"/>
    <w:rsid w:val="00776F26"/>
    <w:rsid w:val="00784AC1"/>
    <w:rsid w:val="00853144"/>
    <w:rsid w:val="00897FD1"/>
    <w:rsid w:val="008A09CA"/>
    <w:rsid w:val="008B2CE3"/>
    <w:rsid w:val="008B69DE"/>
    <w:rsid w:val="00912341"/>
    <w:rsid w:val="00931A8C"/>
    <w:rsid w:val="00943911"/>
    <w:rsid w:val="00943CEB"/>
    <w:rsid w:val="009943E0"/>
    <w:rsid w:val="009C46BD"/>
    <w:rsid w:val="009F3122"/>
    <w:rsid w:val="00A31BEC"/>
    <w:rsid w:val="00A371D7"/>
    <w:rsid w:val="00A50BF3"/>
    <w:rsid w:val="00A64708"/>
    <w:rsid w:val="00A664B0"/>
    <w:rsid w:val="00A749E5"/>
    <w:rsid w:val="00AC5529"/>
    <w:rsid w:val="00AC7E14"/>
    <w:rsid w:val="00AD3F67"/>
    <w:rsid w:val="00AE6954"/>
    <w:rsid w:val="00B15C46"/>
    <w:rsid w:val="00B7092E"/>
    <w:rsid w:val="00B7109A"/>
    <w:rsid w:val="00BC2BE0"/>
    <w:rsid w:val="00BE1B78"/>
    <w:rsid w:val="00BE222F"/>
    <w:rsid w:val="00BE6961"/>
    <w:rsid w:val="00BF0640"/>
    <w:rsid w:val="00C02E53"/>
    <w:rsid w:val="00C0500D"/>
    <w:rsid w:val="00C05CC2"/>
    <w:rsid w:val="00C16837"/>
    <w:rsid w:val="00C16FA9"/>
    <w:rsid w:val="00C30227"/>
    <w:rsid w:val="00C32E58"/>
    <w:rsid w:val="00CA05BA"/>
    <w:rsid w:val="00CF4C15"/>
    <w:rsid w:val="00D03385"/>
    <w:rsid w:val="00D44ACF"/>
    <w:rsid w:val="00D530AF"/>
    <w:rsid w:val="00D6088E"/>
    <w:rsid w:val="00D74386"/>
    <w:rsid w:val="00D902AC"/>
    <w:rsid w:val="00D944AA"/>
    <w:rsid w:val="00DA2AA8"/>
    <w:rsid w:val="00DA4E30"/>
    <w:rsid w:val="00DB7773"/>
    <w:rsid w:val="00DC225F"/>
    <w:rsid w:val="00DC641F"/>
    <w:rsid w:val="00DD1927"/>
    <w:rsid w:val="00E03DB9"/>
    <w:rsid w:val="00E12D31"/>
    <w:rsid w:val="00E13139"/>
    <w:rsid w:val="00E20148"/>
    <w:rsid w:val="00E5612C"/>
    <w:rsid w:val="00E62F68"/>
    <w:rsid w:val="00EB37EF"/>
    <w:rsid w:val="00ED7219"/>
    <w:rsid w:val="00EE7C4F"/>
    <w:rsid w:val="00EF4E14"/>
    <w:rsid w:val="00F0567F"/>
    <w:rsid w:val="00F9179E"/>
    <w:rsid w:val="00FC2695"/>
    <w:rsid w:val="03B20BAE"/>
    <w:rsid w:val="70D7C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F6808"/>
  <w15:chartTrackingRefBased/>
  <w15:docId w15:val="{3E6EBDC0-57D9-4B80-9FCE-F1C0DA25D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0227"/>
    <w:pPr>
      <w:spacing w:after="160" w:line="278" w:lineRule="auto"/>
    </w:pPr>
    <w:rPr>
      <w:rFonts w:asciiTheme="minorHAnsi" w:hAnsiTheme="minorHAnsi" w:eastAsiaTheme="minorHAnsi" w:cstheme="minorBidi"/>
      <w:kern w:val="2"/>
      <w:sz w:val="24"/>
      <w:szCs w:val="24"/>
      <w14:ligatures w14:val="standardContextual"/>
    </w:rPr>
  </w:style>
  <w:style w:type="paragraph" w:styleId="Heading1">
    <w:name w:val="heading 1"/>
    <w:basedOn w:val="Normal"/>
    <w:next w:val="Normal"/>
    <w:link w:val="Heading1Char"/>
    <w:uiPriority w:val="9"/>
    <w:qFormat/>
    <w:rsid w:val="00C3022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22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22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0227"/>
    <w:pPr>
      <w:tabs>
        <w:tab w:val="center" w:pos="4680"/>
        <w:tab w:val="right" w:pos="9360"/>
      </w:tabs>
      <w:spacing w:after="0" w:line="240" w:lineRule="auto"/>
    </w:pPr>
  </w:style>
  <w:style w:type="paragraph" w:styleId="Footer">
    <w:name w:val="footer"/>
    <w:basedOn w:val="Normal"/>
    <w:link w:val="FooterChar"/>
    <w:uiPriority w:val="99"/>
    <w:unhideWhenUsed/>
    <w:rsid w:val="00C30227"/>
    <w:pPr>
      <w:tabs>
        <w:tab w:val="center" w:pos="4680"/>
        <w:tab w:val="right" w:pos="9360"/>
      </w:tabs>
      <w:spacing w:after="0" w:line="240" w:lineRule="auto"/>
    </w:pPr>
  </w:style>
  <w:style w:type="character" w:styleId="PageNumber">
    <w:name w:val="page number"/>
    <w:basedOn w:val="DefaultParagraphFont"/>
    <w:rsid w:val="00461151"/>
  </w:style>
  <w:style w:type="character" w:styleId="Hyperlink">
    <w:name w:val="Hyperlink"/>
    <w:rsid w:val="00461151"/>
    <w:rPr>
      <w:color w:val="0000FF"/>
      <w:u w:val="single"/>
    </w:rPr>
  </w:style>
  <w:style w:type="paragraph" w:styleId="BalloonText">
    <w:name w:val="Balloon Text"/>
    <w:basedOn w:val="Normal"/>
    <w:semiHidden/>
    <w:rsid w:val="006E520C"/>
    <w:rPr>
      <w:rFonts w:ascii="Tahoma" w:hAnsi="Tahoma" w:cs="Tahoma"/>
      <w:sz w:val="16"/>
      <w:szCs w:val="16"/>
    </w:rPr>
  </w:style>
  <w:style w:type="paragraph" w:styleId="BodyTextIndent">
    <w:name w:val="Body Text Indent"/>
    <w:basedOn w:val="Normal"/>
    <w:rsid w:val="0077690C"/>
    <w:pPr>
      <w:ind w:left="720"/>
    </w:pPr>
  </w:style>
  <w:style w:type="paragraph" w:styleId="BodyTextIndent2">
    <w:name w:val="Body Text Indent 2"/>
    <w:basedOn w:val="Normal"/>
    <w:rsid w:val="0077690C"/>
    <w:pPr>
      <w:ind w:left="1080"/>
    </w:pPr>
  </w:style>
  <w:style w:type="character" w:styleId="FollowedHyperlink">
    <w:name w:val="FollowedHyperlink"/>
    <w:rsid w:val="00641EB7"/>
    <w:rPr>
      <w:color w:val="954F72"/>
      <w:u w:val="single"/>
    </w:rPr>
  </w:style>
  <w:style w:type="character" w:styleId="UnresolvedMention">
    <w:name w:val="Unresolved Mention"/>
    <w:uiPriority w:val="99"/>
    <w:semiHidden/>
    <w:unhideWhenUsed/>
    <w:rsid w:val="00CA05BA"/>
    <w:rPr>
      <w:color w:val="605E5C"/>
      <w:shd w:val="clear" w:color="auto" w:fill="E1DFDD"/>
    </w:rPr>
  </w:style>
  <w:style w:type="character" w:styleId="Heading1Char" w:customStyle="1">
    <w:name w:val="Heading 1 Char"/>
    <w:basedOn w:val="DefaultParagraphFont"/>
    <w:link w:val="Heading1"/>
    <w:uiPriority w:val="9"/>
    <w:rsid w:val="00C30227"/>
    <w:rPr>
      <w:rFonts w:asciiTheme="majorHAnsi" w:hAnsiTheme="majorHAnsi" w:eastAsiaTheme="majorEastAsia" w:cstheme="majorBidi"/>
      <w:color w:val="0F4761" w:themeColor="accent1" w:themeShade="BF"/>
      <w:kern w:val="2"/>
      <w:sz w:val="40"/>
      <w:szCs w:val="40"/>
      <w14:ligatures w14:val="standardContextual"/>
    </w:rPr>
  </w:style>
  <w:style w:type="character" w:styleId="FooterChar" w:customStyle="1">
    <w:name w:val="Footer Char"/>
    <w:basedOn w:val="DefaultParagraphFont"/>
    <w:link w:val="Footer"/>
    <w:uiPriority w:val="99"/>
    <w:rsid w:val="00C30227"/>
    <w:rPr>
      <w:rFonts w:asciiTheme="minorHAnsi" w:hAnsiTheme="minorHAnsi" w:eastAsiaTheme="minorHAnsi" w:cstheme="minorBidi"/>
      <w:kern w:val="2"/>
      <w:sz w:val="24"/>
      <w:szCs w:val="24"/>
      <w14:ligatures w14:val="standardContextual"/>
    </w:rPr>
  </w:style>
  <w:style w:type="paragraph" w:styleId="Subtitle">
    <w:name w:val="Subtitle"/>
    <w:aliases w:val="Heading 2 AZ"/>
    <w:basedOn w:val="Normal"/>
    <w:next w:val="Normal"/>
    <w:link w:val="SubtitleChar"/>
    <w:uiPriority w:val="11"/>
    <w:qFormat/>
    <w:rsid w:val="00C30227"/>
    <w:pPr>
      <w:numPr>
        <w:ilvl w:val="1"/>
      </w:numPr>
    </w:pPr>
    <w:rPr>
      <w:rFonts w:eastAsiaTheme="majorEastAsia" w:cstheme="majorBidi"/>
      <w:color w:val="595959" w:themeColor="text1" w:themeTint="A6"/>
      <w:spacing w:val="15"/>
      <w:sz w:val="28"/>
      <w:szCs w:val="28"/>
    </w:rPr>
  </w:style>
  <w:style w:type="character" w:styleId="SubtitleChar" w:customStyle="1">
    <w:name w:val="Subtitle Char"/>
    <w:aliases w:val="Heading 2 AZ Char"/>
    <w:basedOn w:val="DefaultParagraphFont"/>
    <w:link w:val="Subtitle"/>
    <w:uiPriority w:val="11"/>
    <w:rsid w:val="00C30227"/>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Heading2Char" w:customStyle="1">
    <w:name w:val="Heading 2 Char"/>
    <w:basedOn w:val="DefaultParagraphFont"/>
    <w:link w:val="Heading2"/>
    <w:uiPriority w:val="9"/>
    <w:semiHidden/>
    <w:rsid w:val="00C30227"/>
    <w:rPr>
      <w:rFonts w:asciiTheme="majorHAnsi" w:hAnsiTheme="majorHAnsi" w:eastAsiaTheme="majorEastAsia" w:cstheme="majorBidi"/>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semiHidden/>
    <w:rsid w:val="00C30227"/>
    <w:rPr>
      <w:rFonts w:asciiTheme="minorHAnsi" w:hAnsiTheme="minorHAnsi" w:eastAsiaTheme="majorEastAsia" w:cstheme="majorBidi"/>
      <w:color w:val="0F4761"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C30227"/>
    <w:rPr>
      <w:rFonts w:asciiTheme="minorHAnsi" w:hAnsiTheme="minorHAnsi" w:eastAsiaTheme="majorEastAsia" w:cstheme="majorBidi"/>
      <w:i/>
      <w:iCs/>
      <w:color w:val="0F4761" w:themeColor="accent1" w:themeShade="BF"/>
      <w:kern w:val="2"/>
      <w:sz w:val="24"/>
      <w:szCs w:val="24"/>
      <w14:ligatures w14:val="standardContextual"/>
    </w:rPr>
  </w:style>
  <w:style w:type="character" w:styleId="Heading5Char" w:customStyle="1">
    <w:name w:val="Heading 5 Char"/>
    <w:basedOn w:val="DefaultParagraphFont"/>
    <w:link w:val="Heading5"/>
    <w:uiPriority w:val="9"/>
    <w:semiHidden/>
    <w:rsid w:val="00C30227"/>
    <w:rPr>
      <w:rFonts w:asciiTheme="minorHAnsi" w:hAnsiTheme="min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C30227"/>
    <w:rPr>
      <w:rFonts w:asciiTheme="minorHAnsi" w:hAnsiTheme="minorHAnsi" w:eastAsiaTheme="majorEastAsia" w:cstheme="majorBidi"/>
      <w:i/>
      <w:iCs/>
      <w:color w:val="595959" w:themeColor="text1" w:themeTint="A6"/>
      <w:kern w:val="2"/>
      <w:sz w:val="24"/>
      <w:szCs w:val="24"/>
      <w14:ligatures w14:val="standardContextual"/>
    </w:rPr>
  </w:style>
  <w:style w:type="character" w:styleId="Heading7Char" w:customStyle="1">
    <w:name w:val="Heading 7 Char"/>
    <w:basedOn w:val="DefaultParagraphFont"/>
    <w:link w:val="Heading7"/>
    <w:uiPriority w:val="9"/>
    <w:semiHidden/>
    <w:rsid w:val="00C30227"/>
    <w:rPr>
      <w:rFonts w:asciiTheme="minorHAnsi" w:hAnsiTheme="minorHAnsi" w:eastAsiaTheme="majorEastAsia" w:cstheme="majorBidi"/>
      <w:color w:val="595959" w:themeColor="text1" w:themeTint="A6"/>
      <w:kern w:val="2"/>
      <w:sz w:val="24"/>
      <w:szCs w:val="24"/>
      <w14:ligatures w14:val="standardContextual"/>
    </w:rPr>
  </w:style>
  <w:style w:type="character" w:styleId="Heading8Char" w:customStyle="1">
    <w:name w:val="Heading 8 Char"/>
    <w:basedOn w:val="DefaultParagraphFont"/>
    <w:link w:val="Heading8"/>
    <w:uiPriority w:val="9"/>
    <w:semiHidden/>
    <w:rsid w:val="00C30227"/>
    <w:rPr>
      <w:rFonts w:asciiTheme="minorHAnsi" w:hAnsiTheme="minorHAnsi" w:eastAsiaTheme="majorEastAsia" w:cstheme="majorBidi"/>
      <w:i/>
      <w:iCs/>
      <w:color w:val="272727" w:themeColor="text1" w:themeTint="D8"/>
      <w:kern w:val="2"/>
      <w:sz w:val="24"/>
      <w:szCs w:val="24"/>
      <w14:ligatures w14:val="standardContextual"/>
    </w:rPr>
  </w:style>
  <w:style w:type="character" w:styleId="Heading9Char" w:customStyle="1">
    <w:name w:val="Heading 9 Char"/>
    <w:basedOn w:val="DefaultParagraphFont"/>
    <w:link w:val="Heading9"/>
    <w:uiPriority w:val="9"/>
    <w:semiHidden/>
    <w:rsid w:val="00C30227"/>
    <w:rPr>
      <w:rFonts w:asciiTheme="minorHAnsi" w:hAnsiTheme="minorHAnsi"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3022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0227"/>
    <w:rPr>
      <w:rFonts w:asciiTheme="majorHAnsi" w:hAnsiTheme="majorHAnsi" w:eastAsiaTheme="majorEastAsia" w:cstheme="majorBidi"/>
      <w:spacing w:val="-10"/>
      <w:kern w:val="28"/>
      <w:sz w:val="56"/>
      <w:szCs w:val="56"/>
      <w14:ligatures w14:val="standardContextual"/>
    </w:rPr>
  </w:style>
  <w:style w:type="paragraph" w:styleId="Quote">
    <w:name w:val="Quote"/>
    <w:basedOn w:val="Normal"/>
    <w:next w:val="Normal"/>
    <w:link w:val="QuoteChar"/>
    <w:uiPriority w:val="29"/>
    <w:qFormat/>
    <w:rsid w:val="00C30227"/>
    <w:pPr>
      <w:spacing w:before="160"/>
      <w:jc w:val="center"/>
    </w:pPr>
    <w:rPr>
      <w:i/>
      <w:iCs/>
      <w:color w:val="404040" w:themeColor="text1" w:themeTint="BF"/>
    </w:rPr>
  </w:style>
  <w:style w:type="character" w:styleId="QuoteChar" w:customStyle="1">
    <w:name w:val="Quote Char"/>
    <w:basedOn w:val="DefaultParagraphFont"/>
    <w:link w:val="Quote"/>
    <w:uiPriority w:val="29"/>
    <w:rsid w:val="00C30227"/>
    <w:rPr>
      <w:rFonts w:asciiTheme="minorHAnsi" w:hAnsiTheme="minorHAnsi" w:eastAsia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C30227"/>
    <w:pPr>
      <w:ind w:left="720"/>
      <w:contextualSpacing/>
    </w:pPr>
  </w:style>
  <w:style w:type="character" w:styleId="IntenseEmphasis">
    <w:name w:val="Intense Emphasis"/>
    <w:basedOn w:val="DefaultParagraphFont"/>
    <w:uiPriority w:val="21"/>
    <w:qFormat/>
    <w:rsid w:val="00C30227"/>
    <w:rPr>
      <w:i/>
      <w:iCs/>
      <w:color w:val="0F4761" w:themeColor="accent1" w:themeShade="BF"/>
    </w:rPr>
  </w:style>
  <w:style w:type="paragraph" w:styleId="IntenseQuote">
    <w:name w:val="Intense Quote"/>
    <w:basedOn w:val="Normal"/>
    <w:next w:val="Normal"/>
    <w:link w:val="IntenseQuoteChar"/>
    <w:uiPriority w:val="30"/>
    <w:qFormat/>
    <w:rsid w:val="00C3022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0227"/>
    <w:rPr>
      <w:rFonts w:asciiTheme="minorHAnsi" w:hAnsiTheme="minorHAnsi" w:eastAsia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C30227"/>
    <w:rPr>
      <w:b/>
      <w:bCs/>
      <w:smallCaps/>
      <w:color w:val="0F4761" w:themeColor="accent1" w:themeShade="BF"/>
      <w:spacing w:val="5"/>
    </w:rPr>
  </w:style>
  <w:style w:type="character" w:styleId="HeaderChar" w:customStyle="1">
    <w:name w:val="Header Char"/>
    <w:basedOn w:val="DefaultParagraphFont"/>
    <w:link w:val="Header"/>
    <w:uiPriority w:val="99"/>
    <w:rsid w:val="00C30227"/>
    <w:rPr>
      <w:rFonts w:asciiTheme="minorHAnsi" w:hAnsiTheme="minorHAnsi" w:eastAsiaTheme="minorHAnsi" w:cstheme="minorBidi"/>
      <w:kern w:val="2"/>
      <w:sz w:val="24"/>
      <w:szCs w:val="24"/>
      <w14:ligatures w14:val="standardContextual"/>
    </w:rPr>
  </w:style>
  <w:style w:type="paragraph" w:styleId="AZHeading1" w:customStyle="1">
    <w:name w:val="AZ Heading 1"/>
    <w:basedOn w:val="Heading1"/>
    <w:link w:val="AZHeading1Char"/>
    <w:qFormat/>
    <w:rsid w:val="00C30227"/>
    <w:pPr>
      <w:spacing w:after="0"/>
      <w:jc w:val="center"/>
    </w:pPr>
    <w:rPr>
      <w:rFonts w:ascii="Arial" w:hAnsi="Arial" w:cs="Arial"/>
      <w:b/>
      <w:bCs/>
      <w:color w:val="0F406B"/>
      <w:sz w:val="32"/>
      <w:szCs w:val="32"/>
    </w:rPr>
  </w:style>
  <w:style w:type="character" w:styleId="AZHeading1Char" w:customStyle="1">
    <w:name w:val="AZ Heading 1 Char"/>
    <w:basedOn w:val="DefaultParagraphFont"/>
    <w:link w:val="AZHeading1"/>
    <w:rsid w:val="00C30227"/>
    <w:rPr>
      <w:rFonts w:ascii="Arial" w:hAnsi="Arial" w:cs="Arial" w:eastAsiaTheme="majorEastAsia"/>
      <w:b/>
      <w:bCs/>
      <w:color w:val="0F406B"/>
      <w:kern w:val="2"/>
      <w:sz w:val="32"/>
      <w:szCs w:val="32"/>
      <w14:ligatures w14:val="standardContextual"/>
    </w:rPr>
  </w:style>
  <w:style w:type="paragraph" w:styleId="AZHeading2" w:customStyle="1">
    <w:name w:val="AZ Heading 2"/>
    <w:basedOn w:val="Heading2"/>
    <w:link w:val="AZHeading2Char"/>
    <w:qFormat/>
    <w:rsid w:val="00C30227"/>
    <w:pPr>
      <w:spacing w:after="0"/>
    </w:pPr>
    <w:rPr>
      <w:rFonts w:ascii="Arial" w:hAnsi="Arial" w:cs="Arial"/>
      <w:color w:val="0F406B"/>
      <w:sz w:val="24"/>
    </w:rPr>
  </w:style>
  <w:style w:type="character" w:styleId="AZHeading2Char" w:customStyle="1">
    <w:name w:val="AZ Heading 2 Char"/>
    <w:basedOn w:val="Heading2Char"/>
    <w:link w:val="AZHeading2"/>
    <w:rsid w:val="00C30227"/>
    <w:rPr>
      <w:rFonts w:ascii="Arial" w:hAnsi="Arial" w:cs="Arial" w:eastAsiaTheme="majorEastAsia"/>
      <w:color w:val="0F406B"/>
      <w:kern w:val="2"/>
      <w:sz w:val="24"/>
      <w:szCs w:val="32"/>
      <w14:ligatures w14:val="standardContextual"/>
    </w:rPr>
  </w:style>
  <w:style w:type="paragraph" w:styleId="AZNormalTitle" w:customStyle="1">
    <w:name w:val="AZ Normal Title"/>
    <w:basedOn w:val="Normal"/>
    <w:qFormat/>
    <w:rsid w:val="00C30227"/>
    <w:pPr>
      <w:spacing w:after="0"/>
      <w:jc w:val="center"/>
    </w:pPr>
    <w:rPr>
      <w:rFonts w:ascii="Arial" w:hAnsi="Arial" w:cs="Arial"/>
    </w:rPr>
  </w:style>
  <w:style w:type="paragraph" w:styleId="AZNormalBody" w:customStyle="1">
    <w:name w:val="AZ Normal Body"/>
    <w:basedOn w:val="Normal"/>
    <w:qFormat/>
    <w:rsid w:val="00C30227"/>
    <w:rPr>
      <w:rFonts w:ascii="Arial" w:hAnsi="Arial" w:cs="Arial"/>
    </w:rPr>
  </w:style>
  <w:style w:type="paragraph" w:styleId="AZListParagraph" w:customStyle="1">
    <w:name w:val="AZ List Paragraph"/>
    <w:basedOn w:val="ListParagraph"/>
    <w:qFormat/>
    <w:rsid w:val="00C30227"/>
    <w:pPr>
      <w:numPr>
        <w:numId w:val="7"/>
      </w:numPr>
      <w:spacing w:after="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0144">
      <w:bodyDiv w:val="1"/>
      <w:marLeft w:val="0"/>
      <w:marRight w:val="0"/>
      <w:marTop w:val="0"/>
      <w:marBottom w:val="0"/>
      <w:divBdr>
        <w:top w:val="none" w:sz="0" w:space="0" w:color="auto"/>
        <w:left w:val="none" w:sz="0" w:space="0" w:color="auto"/>
        <w:bottom w:val="none" w:sz="0" w:space="0" w:color="auto"/>
        <w:right w:val="none" w:sz="0" w:space="0" w:color="auto"/>
      </w:divBdr>
    </w:div>
    <w:div w:id="171056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www.michigan.gov/mdhhs/-/media/Project/Websites/mdhhs/BOL/Forms/MDHHS-6084_ViroSeroTestReq.dotx?rev=7ee912fa2c074656b5e2bb5bd88a30f1&amp;hash=E96F68F11CADCA61F62E14A4868920FE" TargetMode="External" Id="Rde6cd654e7e14029" /><Relationship Type="http://schemas.openxmlformats.org/officeDocument/2006/relationships/hyperlink" Target="https://www.michigan.gov/mdhhs/-/media/Project/Websites/mdhhs/BOL/Forms/DCH-0812_Serum.docx?rev=3f39416adcb24412b306550ce098e61f&amp;hash=285DAED87E4AC53556EE592D51389959" TargetMode="External" Id="R97941204eeec4ff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ADA%20Form%20Changes\AZ_Test_Template_2026_041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AZ_Test_Template_2026_0415</ap:Template>
  <ap:Application>Microsoft Word for the web</ap:Application>
  <ap:DocSecurity>0</ap:DocSecurity>
  <ap:ScaleCrop>false</ap:ScaleCrop>
  <ap:Company>State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AZ.005 Brucella Antibody Determination</dc:title>
  <dc:subject/>
  <dc:creator>Administrator</dc:creator>
  <keywords/>
  <dc:description>AZ.005 Brucella Antibody Determination</dc:description>
  <lastModifiedBy>Ribeiro, Bruno (DHHS-Contractor)</lastModifiedBy>
  <revision>4</revision>
  <lastPrinted>2008-12-17T17:51:00.0000000Z</lastPrinted>
  <dcterms:created xsi:type="dcterms:W3CDTF">2026-05-07T16:07:00.0000000Z</dcterms:created>
  <dcterms:modified xsi:type="dcterms:W3CDTF">2026-05-18T15:57:53.2118563Z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2021-10-29T13:55:32Z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a0c89cc0-a314-4165-aa1d-97998e962b50</vt:lpwstr>
  </property>
  <property fmtid="{D5CDD505-2E9C-101B-9397-08002B2CF9AE}" pid="8" name="MSIP_Label_3a2fed65-62e7-46ea-af74-187e0c17143a_ContentBits">
    <vt:lpwstr>0</vt:lpwstr>
  </property>
</Properties>
</file>