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45D3" w:rsidP="007471A0" w:rsidRDefault="001C45D3" w14:paraId="7099570F" w14:textId="77777777">
      <w:pPr>
        <w:pStyle w:val="AZNormalTitle"/>
      </w:pPr>
      <w:r w:rsidRPr="00D25EC3">
        <w:t xml:space="preserve">Michigan Department of Health and Human Services </w:t>
      </w:r>
    </w:p>
    <w:p w:rsidRPr="001C45D3" w:rsidR="001C45D3" w:rsidP="007471A0" w:rsidRDefault="001C45D3" w14:paraId="25FB744F" w14:textId="65E72C3F">
      <w:pPr>
        <w:pStyle w:val="AZNormalTitle"/>
      </w:pPr>
      <w:r w:rsidRPr="00D25EC3">
        <w:t>Bureau of Laboratories</w:t>
      </w:r>
    </w:p>
    <w:p w:rsidR="00B52086" w:rsidP="00126142" w:rsidRDefault="001C45D3" w14:paraId="6132C654" w14:textId="59B8271F">
      <w:pPr>
        <w:pStyle w:val="AZHeading1"/>
      </w:pPr>
      <w:r>
        <w:t xml:space="preserve">AZ.023 </w:t>
      </w:r>
      <w:r w:rsidRPr="001C45D3" w:rsidR="0012696B">
        <w:t xml:space="preserve">Hepatitis </w:t>
      </w:r>
      <w:r w:rsidRPr="001C45D3" w:rsidR="007D50DB">
        <w:t>B Surface Antigen</w:t>
      </w:r>
      <w:r w:rsidRPr="001C45D3" w:rsidR="0012696B">
        <w:t xml:space="preserve"> </w:t>
      </w:r>
      <w:r w:rsidRPr="001C45D3" w:rsidR="00606EC3">
        <w:t xml:space="preserve">(HBsAg) </w:t>
      </w:r>
    </w:p>
    <w:p w:rsidRPr="001C45D3" w:rsidR="001C45D3" w:rsidP="00126142" w:rsidRDefault="001C45D3" w14:paraId="095F70D8" w14:textId="085DB45B">
      <w:pPr>
        <w:pStyle w:val="AZNormalTitle"/>
      </w:pPr>
      <w:r w:rsidRPr="00D25EC3">
        <w:t>Rev 01/2</w:t>
      </w:r>
      <w:r>
        <w:t>9</w:t>
      </w:r>
      <w:r w:rsidRPr="00D25EC3">
        <w:t>/2025</w:t>
      </w:r>
    </w:p>
    <w:p w:rsidRPr="0021686A" w:rsidR="001C45D3" w:rsidP="00126142" w:rsidRDefault="001C45D3" w14:paraId="273DDD58" w14:textId="77777777">
      <w:pPr>
        <w:pStyle w:val="AZHeading2"/>
      </w:pPr>
      <w:r w:rsidRPr="0021686A">
        <w:t xml:space="preserve">ANALYTES TESTED: </w:t>
      </w:r>
    </w:p>
    <w:p w:rsidRPr="00AF6778" w:rsidR="00C0500D" w:rsidP="00126142" w:rsidRDefault="007D50DB" w14:paraId="410F1A37" w14:textId="1CC7F65B">
      <w:pPr>
        <w:pStyle w:val="AZNormalBody"/>
      </w:pPr>
      <w:r w:rsidRPr="00AF6778">
        <w:t>Hepatitis B Virus (HB</w:t>
      </w:r>
      <w:r w:rsidRPr="00AF6778" w:rsidR="00215E5E">
        <w:t>V)</w:t>
      </w:r>
      <w:r w:rsidRPr="00AF6778" w:rsidR="00E51B75">
        <w:t xml:space="preserve"> </w:t>
      </w:r>
      <w:r w:rsidRPr="00AF6778">
        <w:t>Surface Antigen</w:t>
      </w:r>
      <w:r w:rsidRPr="00AF6778" w:rsidR="00E51B75">
        <w:t>.</w:t>
      </w:r>
    </w:p>
    <w:p w:rsidRPr="001C45D3" w:rsidR="001C45D3" w:rsidP="00126142" w:rsidRDefault="00461151" w14:paraId="5BDF5B1F" w14:textId="77777777">
      <w:pPr>
        <w:pStyle w:val="AZHeading2"/>
      </w:pPr>
      <w:r w:rsidRPr="001C45D3">
        <w:t>USE OF TEST</w:t>
      </w:r>
      <w:r w:rsidRPr="001C45D3" w:rsidR="001C45D3">
        <w:t xml:space="preserve">: </w:t>
      </w:r>
    </w:p>
    <w:p w:rsidRPr="00AF6778" w:rsidR="007D50DB" w:rsidP="00126142" w:rsidRDefault="001C45D3" w14:paraId="31C92BEE" w14:textId="3E42CC5D">
      <w:pPr>
        <w:pStyle w:val="AZNormalBody"/>
      </w:pPr>
      <w:r w:rsidRPr="00AF6778">
        <w:t>Chemiluminescent</w:t>
      </w:r>
      <w:r w:rsidRPr="00AF6778" w:rsidR="0082470A">
        <w:t xml:space="preserve"> Immunoassay (CLIA) technolog</w:t>
      </w:r>
      <w:r w:rsidRPr="00AF6778" w:rsidR="00B0511F">
        <w:t>y is utilized for the detection of</w:t>
      </w:r>
      <w:r w:rsidRPr="00AF6778" w:rsidR="007D50DB">
        <w:t xml:space="preserve"> </w:t>
      </w:r>
      <w:r w:rsidRPr="00AF6778" w:rsidR="0082470A">
        <w:t>H</w:t>
      </w:r>
      <w:r w:rsidRPr="00AF6778" w:rsidR="007D50DB">
        <w:t xml:space="preserve">epatitis B </w:t>
      </w:r>
      <w:r w:rsidRPr="00AF6778" w:rsidR="0082470A">
        <w:t>S</w:t>
      </w:r>
      <w:r w:rsidRPr="00AF6778" w:rsidR="007D50DB">
        <w:t>u</w:t>
      </w:r>
      <w:r w:rsidRPr="00AF6778" w:rsidR="00CB4CA7">
        <w:t xml:space="preserve">rface </w:t>
      </w:r>
      <w:r w:rsidRPr="00AF6778" w:rsidR="0082470A">
        <w:t>A</w:t>
      </w:r>
      <w:r w:rsidRPr="00AF6778" w:rsidR="00CB4CA7">
        <w:t xml:space="preserve">ntigen </w:t>
      </w:r>
      <w:r w:rsidRPr="00AF6778" w:rsidR="007C2D70">
        <w:t xml:space="preserve">(HBsAg) </w:t>
      </w:r>
      <w:r w:rsidRPr="00AF6778" w:rsidR="00CB4CA7">
        <w:t xml:space="preserve">in </w:t>
      </w:r>
      <w:r w:rsidRPr="00AF6778" w:rsidR="007C2D70">
        <w:t xml:space="preserve">human </w:t>
      </w:r>
      <w:r w:rsidRPr="00AF6778" w:rsidR="00CB4CA7">
        <w:t>serum</w:t>
      </w:r>
      <w:r w:rsidRPr="00AF6778" w:rsidR="007D50DB">
        <w:t xml:space="preserve">. </w:t>
      </w:r>
    </w:p>
    <w:p w:rsidRPr="001C45D3" w:rsidR="00461151" w:rsidP="00126142" w:rsidRDefault="00461151" w14:paraId="0DA72567" w14:textId="77777777">
      <w:pPr>
        <w:pStyle w:val="AZHeading2"/>
      </w:pPr>
      <w:r w:rsidRPr="001C45D3">
        <w:t>SPECIMEN COLLECTION AND SUBMISSION GUIDELINES:</w:t>
      </w:r>
    </w:p>
    <w:p w:rsidR="001C45D3" w:rsidP="00126142" w:rsidRDefault="00461151" w14:paraId="5362F9F3" w14:textId="77777777">
      <w:pPr>
        <w:pStyle w:val="AZListParagraph"/>
        <w:rPr/>
      </w:pPr>
      <w:r w:rsidR="00461151">
        <w:rPr/>
        <w:t>Test Request Form</w:t>
      </w:r>
      <w:r w:rsidR="00B0511F">
        <w:rPr/>
        <w:t xml:space="preserve"> </w:t>
      </w:r>
      <w:hyperlink r:id="Re82b309bb41843f1">
        <w:r w:rsidRPr="65F2432F" w:rsidR="00B0511F">
          <w:rPr>
            <w:rStyle w:val="Hyperlink"/>
            <w:color w:val="auto"/>
          </w:rPr>
          <w:t>MDHHS-6084</w:t>
        </w:r>
      </w:hyperlink>
      <w:r w:rsidR="001C45D3">
        <w:rPr/>
        <w:t>.</w:t>
      </w:r>
    </w:p>
    <w:p w:rsidR="001C45D3" w:rsidP="00126142" w:rsidRDefault="00215E5E" w14:paraId="21379D40" w14:textId="77777777">
      <w:pPr>
        <w:pStyle w:val="AZListParagraph"/>
        <w:rPr/>
      </w:pPr>
      <w:r w:rsidR="00215E5E">
        <w:rPr/>
        <w:t xml:space="preserve">Serum Specimen Collection </w:t>
      </w:r>
      <w:r w:rsidR="00B0511F">
        <w:rPr/>
        <w:t xml:space="preserve">and Submission </w:t>
      </w:r>
      <w:hyperlink r:id="R0be7b64671e348de">
        <w:r w:rsidRPr="65F2432F" w:rsidR="00B0511F">
          <w:rPr>
            <w:rStyle w:val="Hyperlink"/>
            <w:color w:val="auto"/>
          </w:rPr>
          <w:t>DCH-0812</w:t>
        </w:r>
      </w:hyperlink>
      <w:r w:rsidR="001C45D3">
        <w:rPr/>
        <w:t>.</w:t>
      </w:r>
    </w:p>
    <w:p w:rsidR="001C45D3" w:rsidP="00126142" w:rsidRDefault="004C46E5" w14:paraId="3A1E86EE" w14:textId="77777777">
      <w:pPr>
        <w:pStyle w:val="AZListParagraph"/>
      </w:pPr>
      <w:r w:rsidRPr="00AF6778">
        <w:t>Transport Temperature:</w:t>
      </w:r>
      <w:r w:rsidRPr="00AF6778" w:rsidR="00B0511F">
        <w:t xml:space="preserve"> on frozen cold packs or dry ice</w:t>
      </w:r>
      <w:r w:rsidR="00E95290">
        <w:t>, (</w:t>
      </w:r>
      <w:r w:rsidRPr="001C45D3" w:rsidR="00E95290">
        <w:rPr>
          <w:u w:val="single"/>
        </w:rPr>
        <w:t>&lt;</w:t>
      </w:r>
      <w:r w:rsidR="00E95290">
        <w:t>8°C).</w:t>
      </w:r>
    </w:p>
    <w:p w:rsidRPr="00AF6778" w:rsidR="00461151" w:rsidP="00126142" w:rsidRDefault="00D37AF4" w14:paraId="358980AC" w14:textId="7CB13D47">
      <w:pPr>
        <w:pStyle w:val="AZListParagraph"/>
      </w:pPr>
      <w:r w:rsidRPr="00AF6778">
        <w:t xml:space="preserve">No special patient preparation is required. </w:t>
      </w:r>
    </w:p>
    <w:p w:rsidRPr="001C45D3" w:rsidR="00461151" w:rsidP="00126142" w:rsidRDefault="00461151" w14:paraId="771A0F16" w14:textId="77777777">
      <w:pPr>
        <w:pStyle w:val="AZHeading2"/>
      </w:pPr>
      <w:r w:rsidRPr="001C45D3">
        <w:t>SPECIMEN TYPE:</w:t>
      </w:r>
    </w:p>
    <w:p w:rsidR="001C45D3" w:rsidP="00126142" w:rsidRDefault="00C0500D" w14:paraId="6919DC93" w14:textId="77777777">
      <w:pPr>
        <w:pStyle w:val="AZListParagraph"/>
      </w:pPr>
      <w:r w:rsidRPr="00AF6778">
        <w:t>Specimen</w:t>
      </w:r>
      <w:r w:rsidRPr="00AF6778" w:rsidR="00D944AA">
        <w:t xml:space="preserve"> Required</w:t>
      </w:r>
      <w:r w:rsidRPr="00AF6778" w:rsidR="00711218">
        <w:t>:</w:t>
      </w:r>
      <w:r w:rsidRPr="00AF6778" w:rsidR="00692180">
        <w:t xml:space="preserve"> </w:t>
      </w:r>
      <w:r w:rsidRPr="00AF6778" w:rsidR="00E86125">
        <w:t>Serum</w:t>
      </w:r>
      <w:r w:rsidR="001C45D3">
        <w:t>.</w:t>
      </w:r>
    </w:p>
    <w:p w:rsidR="001C45D3" w:rsidP="00126142" w:rsidRDefault="004C46E5" w14:paraId="62C26596" w14:textId="77777777">
      <w:pPr>
        <w:pStyle w:val="AZListParagraph"/>
      </w:pPr>
      <w:r w:rsidRPr="00AF6778">
        <w:t>Minimum Acceptable Volume:</w:t>
      </w:r>
      <w:r w:rsidRPr="00AF6778" w:rsidR="00692180">
        <w:t xml:space="preserve"> </w:t>
      </w:r>
      <w:r w:rsidRPr="00AF6778" w:rsidR="00B044CF">
        <w:t>1</w:t>
      </w:r>
      <w:r w:rsidRPr="00AF6778" w:rsidR="00786FF2">
        <w:t xml:space="preserve"> m</w:t>
      </w:r>
      <w:r w:rsidRPr="00AF6778" w:rsidR="0082470A">
        <w:t>L</w:t>
      </w:r>
      <w:r w:rsidR="001C45D3">
        <w:t>.</w:t>
      </w:r>
    </w:p>
    <w:p w:rsidR="001C45D3" w:rsidP="00126142" w:rsidRDefault="00711218" w14:paraId="657AB9AB" w14:textId="77777777">
      <w:pPr>
        <w:pStyle w:val="AZListParagraph"/>
      </w:pPr>
      <w:r w:rsidRPr="00AF6778">
        <w:t>Container:</w:t>
      </w:r>
      <w:r w:rsidRPr="00AF6778" w:rsidR="00EC6BB5">
        <w:t xml:space="preserve"> </w:t>
      </w:r>
      <w:r w:rsidRPr="00AF6778" w:rsidR="006B459B">
        <w:t>3 m</w:t>
      </w:r>
      <w:r w:rsidRPr="00AF6778" w:rsidR="0082470A">
        <w:t>L</w:t>
      </w:r>
      <w:r w:rsidRPr="00AF6778" w:rsidR="006B459B">
        <w:t xml:space="preserve"> p</w:t>
      </w:r>
      <w:r w:rsidRPr="00AF6778" w:rsidR="00740154">
        <w:t>olypropylene screw cap</w:t>
      </w:r>
      <w:r w:rsidRPr="00AF6778" w:rsidR="00907C51">
        <w:t>ped</w:t>
      </w:r>
      <w:r w:rsidRPr="00AF6778" w:rsidR="00740154">
        <w:t xml:space="preserve"> tube</w:t>
      </w:r>
      <w:r w:rsidRPr="00AF6778" w:rsidR="00531C66">
        <w:t xml:space="preserve"> or serum separator tube.  </w:t>
      </w:r>
    </w:p>
    <w:p w:rsidRPr="00AF6778" w:rsidR="00D944AA" w:rsidP="00126142" w:rsidRDefault="00711218" w14:paraId="4FD2B95D" w14:textId="143C15AF">
      <w:pPr>
        <w:pStyle w:val="AZListParagraph"/>
      </w:pPr>
      <w:r w:rsidRPr="00AF6778">
        <w:t>Shipping Unit:</w:t>
      </w:r>
      <w:r w:rsidRPr="00AF6778" w:rsidR="00786FF2">
        <w:t xml:space="preserve"> Unit 8</w:t>
      </w:r>
      <w:r w:rsidRPr="00AF6778" w:rsidR="0082470A">
        <w:t>A</w:t>
      </w:r>
      <w:r w:rsidR="001C45D3">
        <w:t>.</w:t>
      </w:r>
    </w:p>
    <w:p w:rsidRPr="001C45D3" w:rsidR="00D944AA" w:rsidP="00126142" w:rsidRDefault="008A09CA" w14:paraId="621DFCD3" w14:textId="77777777">
      <w:pPr>
        <w:pStyle w:val="AZHeading2"/>
      </w:pPr>
      <w:r w:rsidRPr="001C45D3">
        <w:t>SPECIMEN REJECTION CRITERIA:</w:t>
      </w:r>
    </w:p>
    <w:p w:rsidR="001C45D3" w:rsidP="00126142" w:rsidRDefault="004714F7" w14:paraId="2BD0A9A3" w14:textId="77777777">
      <w:pPr>
        <w:pStyle w:val="AZListParagraph"/>
      </w:pPr>
      <w:r w:rsidRPr="00AF6778">
        <w:t xml:space="preserve">Specimens lacking </w:t>
      </w:r>
      <w:r w:rsidRPr="00AF6778" w:rsidR="00B044CF">
        <w:t xml:space="preserve">two unique </w:t>
      </w:r>
      <w:r w:rsidRPr="00AF6778" w:rsidR="00354BC5">
        <w:t>patient identifier</w:t>
      </w:r>
      <w:r w:rsidRPr="00AF6778" w:rsidR="00B044CF">
        <w:t>s (i.e., full name, date of birth)</w:t>
      </w:r>
      <w:r w:rsidRPr="00AF6778">
        <w:t xml:space="preserve"> will not be tested</w:t>
      </w:r>
      <w:r w:rsidRPr="00AF6778" w:rsidR="00B044CF">
        <w:t>.</w:t>
      </w:r>
    </w:p>
    <w:p w:rsidR="001C45D3" w:rsidP="00126142" w:rsidRDefault="00E95290" w14:paraId="4F2B4E20" w14:textId="77777777">
      <w:pPr>
        <w:pStyle w:val="AZListParagraph"/>
      </w:pPr>
      <w:r w:rsidRPr="000F58E2">
        <w:t>Specimens received outside of appropriate transport temperature may not be tested.</w:t>
      </w:r>
    </w:p>
    <w:p w:rsidR="001C45D3" w:rsidP="00126142" w:rsidRDefault="00E95290" w14:paraId="567F5028" w14:textId="77777777">
      <w:pPr>
        <w:pStyle w:val="AZListParagraph"/>
      </w:pPr>
      <w:r>
        <w:t>Specimens are leaking.</w:t>
      </w:r>
    </w:p>
    <w:p w:rsidRPr="00AF6778" w:rsidR="00711218" w:rsidP="00126142" w:rsidRDefault="004714F7" w14:paraId="2147E961" w14:textId="56C199BB">
      <w:pPr>
        <w:pStyle w:val="AZListParagraph"/>
      </w:pPr>
      <w:r w:rsidRPr="00AF6778">
        <w:t>Plasma is unacceptable for testing by this method.</w:t>
      </w:r>
      <w:r w:rsidRPr="00AF6778" w:rsidR="00B044CF">
        <w:t xml:space="preserve"> </w:t>
      </w:r>
    </w:p>
    <w:p w:rsidRPr="001C45D3" w:rsidR="00711218" w:rsidP="00126142" w:rsidRDefault="00711218" w14:paraId="5ED0E229" w14:textId="77777777">
      <w:pPr>
        <w:pStyle w:val="AZHeading2"/>
      </w:pPr>
      <w:r w:rsidRPr="001C45D3">
        <w:t>TEST PER</w:t>
      </w:r>
      <w:r w:rsidRPr="001C45D3" w:rsidR="00D944AA">
        <w:t>F</w:t>
      </w:r>
      <w:r w:rsidRPr="001C45D3">
        <w:t>ORMED:</w:t>
      </w:r>
    </w:p>
    <w:p w:rsidR="001C45D3" w:rsidP="00126142" w:rsidRDefault="00D944AA" w14:paraId="6202A9FC" w14:textId="7B49DB39">
      <w:pPr>
        <w:pStyle w:val="AZListParagraph"/>
      </w:pPr>
      <w:r w:rsidRPr="00AF6778">
        <w:t>Methodology</w:t>
      </w:r>
      <w:r w:rsidRPr="00AF6778" w:rsidR="001C45D3">
        <w:t>: Chemiluminescent</w:t>
      </w:r>
      <w:r w:rsidRPr="00AF6778" w:rsidR="0082470A">
        <w:t xml:space="preserve"> Immunoassay (CLIA).</w:t>
      </w:r>
    </w:p>
    <w:p w:rsidR="001C45D3" w:rsidP="00126142" w:rsidRDefault="00C0500D" w14:paraId="3F44569A" w14:textId="4102573C">
      <w:pPr>
        <w:pStyle w:val="AZListParagraph"/>
      </w:pPr>
      <w:r w:rsidRPr="00AF6778">
        <w:t>Turn</w:t>
      </w:r>
      <w:r w:rsidR="001C45D3">
        <w:t>a</w:t>
      </w:r>
      <w:r w:rsidRPr="00AF6778">
        <w:t>round</w:t>
      </w:r>
      <w:r w:rsidRPr="00AF6778" w:rsidR="00D944AA">
        <w:t xml:space="preserve"> Time:</w:t>
      </w:r>
      <w:r w:rsidRPr="00AF6778" w:rsidR="00AA76BD">
        <w:t xml:space="preserve"> </w:t>
      </w:r>
      <w:r w:rsidR="00BF1C7E">
        <w:t>W</w:t>
      </w:r>
      <w:r w:rsidRPr="00AF6778" w:rsidR="009A5970">
        <w:t>ithin 5 days.</w:t>
      </w:r>
    </w:p>
    <w:p w:rsidRPr="00243845" w:rsidR="00EE7A6F" w:rsidP="00EE7A6F" w:rsidRDefault="00EE7A6F" w14:paraId="77E8CC30" w14:textId="77777777">
      <w:pPr>
        <w:pStyle w:val="AZListParagraph"/>
      </w:pPr>
      <w:r>
        <w:t>Testing is performed at the Bureau of Laboratories, Monday-Friday.</w:t>
      </w:r>
    </w:p>
    <w:p w:rsidRPr="001C45D3" w:rsidR="00D944AA" w:rsidP="00126142" w:rsidRDefault="00D944AA" w14:paraId="1E46E0DD" w14:textId="77777777">
      <w:pPr>
        <w:pStyle w:val="AZHeading2"/>
      </w:pPr>
      <w:r w:rsidRPr="001C45D3">
        <w:t>RESULT INTERPRETATION:</w:t>
      </w:r>
    </w:p>
    <w:p w:rsidRPr="00AF6778" w:rsidR="00C0500D" w:rsidP="00126142" w:rsidRDefault="00C0500D" w14:paraId="202D440C" w14:textId="0A9E2547">
      <w:pPr>
        <w:pStyle w:val="AZNormalBody"/>
      </w:pPr>
      <w:r w:rsidRPr="00AF6778">
        <w:t>Reference Range:</w:t>
      </w:r>
      <w:r w:rsidRPr="00AF6778" w:rsidR="00AA76BD">
        <w:t xml:space="preserve"> </w:t>
      </w:r>
      <w:r w:rsidRPr="00AF6778" w:rsidR="00B044CF">
        <w:t>ABSENT (</w:t>
      </w:r>
      <w:r w:rsidRPr="00AF6778" w:rsidR="0082470A">
        <w:t>n</w:t>
      </w:r>
      <w:r w:rsidRPr="00AF6778" w:rsidR="007D50DB">
        <w:t>o</w:t>
      </w:r>
      <w:r w:rsidRPr="00AF6778" w:rsidR="00B044CF">
        <w:t xml:space="preserve"> antigen detected)</w:t>
      </w:r>
      <w:r w:rsidRPr="00AF6778" w:rsidR="00AA76BD">
        <w:t>.</w:t>
      </w:r>
    </w:p>
    <w:p w:rsidRPr="00AF6778" w:rsidR="004714F7" w:rsidP="00461151" w:rsidRDefault="004714F7" w14:paraId="039837F6" w14:textId="77777777"/>
    <w:p w:rsidRPr="00AF6778" w:rsidR="0052623F" w:rsidP="00126142" w:rsidRDefault="0052623F" w14:paraId="01A7834E" w14:textId="77777777">
      <w:pPr>
        <w:pStyle w:val="AZListParagraph"/>
      </w:pPr>
      <w:r w:rsidRPr="00AF6778">
        <w:t>HBsAg Absent:</w:t>
      </w:r>
    </w:p>
    <w:p w:rsidRPr="00AF6778" w:rsidR="0012696B" w:rsidP="00126142" w:rsidRDefault="004714F7" w14:paraId="1264FDE3" w14:textId="7A8BD7FB">
      <w:pPr>
        <w:pStyle w:val="AZListParagraph"/>
        <w:numPr>
          <w:ilvl w:val="1"/>
          <w:numId w:val="12"/>
        </w:numPr>
      </w:pPr>
      <w:r w:rsidRPr="00AF6778">
        <w:t>The absence of detectable HBsAg rule</w:t>
      </w:r>
      <w:r w:rsidRPr="00AF6778" w:rsidR="00FB7427">
        <w:t>s</w:t>
      </w:r>
      <w:r w:rsidRPr="00AF6778">
        <w:t xml:space="preserve"> out </w:t>
      </w:r>
      <w:r w:rsidRPr="00AF6778" w:rsidR="006B459B">
        <w:t xml:space="preserve">current </w:t>
      </w:r>
      <w:r w:rsidRPr="00AF6778" w:rsidR="00FB7427">
        <w:t xml:space="preserve">hepatitis B infection however, false negative results </w:t>
      </w:r>
      <w:r w:rsidRPr="00AF6778" w:rsidR="00335840">
        <w:t xml:space="preserve">may </w:t>
      </w:r>
      <w:r w:rsidRPr="00AF6778" w:rsidR="00FB7427">
        <w:t>occur if the quantity of HBsAg is below the detectable limits of the assay or if the specimen is collected too early following exposure. The t</w:t>
      </w:r>
      <w:r w:rsidRPr="00AF6778">
        <w:t xml:space="preserve">iming of specimen collection </w:t>
      </w:r>
      <w:r w:rsidRPr="00AF6778" w:rsidR="00FB7427">
        <w:t xml:space="preserve">in conjunction with clinical signs and symptoms </w:t>
      </w:r>
      <w:r w:rsidRPr="00AF6778">
        <w:t>should be considered.</w:t>
      </w:r>
    </w:p>
    <w:p w:rsidRPr="00AF6778" w:rsidR="006B459B" w:rsidP="00126142" w:rsidRDefault="0019326E" w14:paraId="2EC00B35" w14:textId="0D480955">
      <w:pPr>
        <w:pStyle w:val="AZListParagraph"/>
        <w:numPr>
          <w:ilvl w:val="1"/>
          <w:numId w:val="12"/>
        </w:numPr>
      </w:pPr>
      <w:r>
        <w:t>Specimens that contain biotin (vitamin B7 or vitamin H) at a concentration of &gt;10 ng/ml may cause a false negative result.</w:t>
      </w:r>
    </w:p>
    <w:p w:rsidRPr="00AF6778" w:rsidR="0052623F" w:rsidP="00126142" w:rsidRDefault="0052623F" w14:paraId="187AB617" w14:textId="77777777">
      <w:pPr>
        <w:pStyle w:val="AZListParagraph"/>
      </w:pPr>
      <w:r w:rsidRPr="00AF6778">
        <w:t>HBsAg Present:</w:t>
      </w:r>
    </w:p>
    <w:p w:rsidRPr="00AF6778" w:rsidR="00FB7427" w:rsidP="00126142" w:rsidRDefault="006B459B" w14:paraId="71E880E8" w14:textId="7008D1C8">
      <w:pPr>
        <w:pStyle w:val="AZListParagraph"/>
        <w:numPr>
          <w:ilvl w:val="1"/>
          <w:numId w:val="12"/>
        </w:numPr>
      </w:pPr>
      <w:r w:rsidRPr="00AF6778">
        <w:t>The presence of HBsAg i</w:t>
      </w:r>
      <w:r w:rsidRPr="00AF6778" w:rsidR="00FB7427">
        <w:t xml:space="preserve">n this assay indicates the patient is </w:t>
      </w:r>
      <w:r w:rsidRPr="00AF6778" w:rsidR="0052623F">
        <w:t xml:space="preserve">actively </w:t>
      </w:r>
      <w:r w:rsidRPr="00AF6778" w:rsidR="00FB7427">
        <w:t xml:space="preserve">infected with </w:t>
      </w:r>
      <w:r w:rsidRPr="00AF6778" w:rsidR="00740154">
        <w:t>h</w:t>
      </w:r>
      <w:r w:rsidRPr="00AF6778" w:rsidR="00FB7427">
        <w:t xml:space="preserve">epatitis B virus </w:t>
      </w:r>
      <w:r w:rsidRPr="00AF6778">
        <w:t>however</w:t>
      </w:r>
      <w:r w:rsidRPr="00AF6778" w:rsidR="00740154">
        <w:t>,</w:t>
      </w:r>
      <w:r w:rsidRPr="00AF6778" w:rsidR="00FB7427">
        <w:t xml:space="preserve"> recently vaccinated individuals may exhibit transient </w:t>
      </w:r>
      <w:r w:rsidRPr="00AF6778" w:rsidR="00335840">
        <w:t xml:space="preserve">HBsAg </w:t>
      </w:r>
      <w:r w:rsidRPr="00AF6778" w:rsidR="00FB7427">
        <w:t>reactivity for up to 18 days.</w:t>
      </w:r>
    </w:p>
    <w:p w:rsidRPr="001C45D3" w:rsidR="001C45D3" w:rsidP="00126142" w:rsidRDefault="00C0500D" w14:paraId="3FEE8EFE" w14:textId="77777777">
      <w:pPr>
        <w:pStyle w:val="AZHeading2"/>
      </w:pPr>
      <w:r w:rsidRPr="001C45D3">
        <w:t>FEES:</w:t>
      </w:r>
      <w:r w:rsidRPr="001C45D3" w:rsidR="00E51B75">
        <w:t xml:space="preserve"> </w:t>
      </w:r>
      <w:r w:rsidRPr="001C45D3" w:rsidR="00E51B75">
        <w:tab/>
      </w:r>
    </w:p>
    <w:p w:rsidRPr="00AF6778" w:rsidR="00C0500D" w:rsidP="00126142" w:rsidRDefault="0012696B" w14:paraId="292254D9" w14:textId="2E7A2E4F">
      <w:pPr>
        <w:pStyle w:val="AZNormalBody"/>
      </w:pPr>
      <w:r w:rsidRPr="00AF6778">
        <w:t>N</w:t>
      </w:r>
      <w:r w:rsidR="001C45D3">
        <w:t>ot Applicable.</w:t>
      </w:r>
    </w:p>
    <w:p w:rsidRPr="005F6E29" w:rsidR="00D944AA" w:rsidP="0080745F" w:rsidRDefault="00D944AA" w14:paraId="251DC527" w14:textId="77777777">
      <w:pPr>
        <w:pStyle w:val="AZHeading2"/>
        <w:rPr>
          <w:szCs w:val="24"/>
        </w:rPr>
      </w:pPr>
      <w:r w:rsidRPr="0080745F">
        <w:t>NOTES</w:t>
      </w:r>
      <w:r w:rsidRPr="005F6E29">
        <w:rPr>
          <w:szCs w:val="24"/>
        </w:rPr>
        <w:t>:</w:t>
      </w:r>
    </w:p>
    <w:p w:rsidRPr="00AF6778" w:rsidR="003A104A" w:rsidP="00126142" w:rsidRDefault="00FB7427" w14:paraId="0221251D" w14:textId="77777777">
      <w:pPr>
        <w:pStyle w:val="AZListParagraph"/>
      </w:pPr>
      <w:r w:rsidRPr="00AF6778">
        <w:t xml:space="preserve">Hepatitis B surface antigen is </w:t>
      </w:r>
      <w:r w:rsidRPr="00AF6778" w:rsidR="00D41549">
        <w:t xml:space="preserve">one of </w:t>
      </w:r>
      <w:r w:rsidRPr="00AF6778">
        <w:t>the earliest indicator</w:t>
      </w:r>
      <w:r w:rsidRPr="00AF6778" w:rsidR="00D41549">
        <w:t>s</w:t>
      </w:r>
      <w:r w:rsidRPr="00AF6778">
        <w:t xml:space="preserve"> of </w:t>
      </w:r>
      <w:r w:rsidRPr="00AF6778" w:rsidR="006B459B">
        <w:t xml:space="preserve">current </w:t>
      </w:r>
      <w:r w:rsidRPr="00AF6778" w:rsidR="00D41549">
        <w:t xml:space="preserve">HBV </w:t>
      </w:r>
      <w:r w:rsidRPr="00AF6778">
        <w:t xml:space="preserve">infection. </w:t>
      </w:r>
      <w:r w:rsidRPr="00AF6778" w:rsidR="00766467">
        <w:t xml:space="preserve">Approximately 95% of immunocompetent </w:t>
      </w:r>
      <w:r w:rsidRPr="00AF6778" w:rsidR="00D41549">
        <w:t>adult</w:t>
      </w:r>
      <w:r w:rsidRPr="00AF6778" w:rsidR="00766467">
        <w:t xml:space="preserve">s will </w:t>
      </w:r>
      <w:r w:rsidRPr="00AF6778" w:rsidR="00053AE0">
        <w:t xml:space="preserve">eliminate HBV from the bloodstream </w:t>
      </w:r>
      <w:r w:rsidRPr="00AF6778" w:rsidR="00766467">
        <w:t>w</w:t>
      </w:r>
      <w:r w:rsidRPr="00AF6778" w:rsidR="00D41549">
        <w:t xml:space="preserve">ithin a few weeks to several months </w:t>
      </w:r>
      <w:r w:rsidRPr="00AF6778" w:rsidR="00766467">
        <w:t xml:space="preserve">following acute </w:t>
      </w:r>
      <w:r w:rsidRPr="00AF6778" w:rsidR="00D41549">
        <w:t>infection</w:t>
      </w:r>
      <w:r w:rsidRPr="00AF6778" w:rsidR="00766467">
        <w:t>. The disappearance of detectable HBsAg and appearance of anti-HBsAg is an indication of such clearance.</w:t>
      </w:r>
      <w:r w:rsidRPr="00AF6778" w:rsidR="00D41549">
        <w:t xml:space="preserve">  </w:t>
      </w:r>
    </w:p>
    <w:p w:rsidRPr="00AF6778" w:rsidR="00D41549" w:rsidP="00126142" w:rsidRDefault="00FB7427" w14:paraId="39299913" w14:textId="77777777">
      <w:pPr>
        <w:pStyle w:val="AZListParagraph"/>
      </w:pPr>
      <w:r w:rsidRPr="00AF6778">
        <w:t>Chronic HBV infection is defined by the continued presence of HBsAg in the blo</w:t>
      </w:r>
      <w:r w:rsidRPr="00AF6778" w:rsidR="00D41549">
        <w:t xml:space="preserve">od for longer than six months. Infants and children are at the greatest risk </w:t>
      </w:r>
      <w:proofErr w:type="gramStart"/>
      <w:r w:rsidRPr="00AF6778" w:rsidR="00D41549">
        <w:t>for</w:t>
      </w:r>
      <w:proofErr w:type="gramEnd"/>
      <w:r w:rsidRPr="00AF6778" w:rsidR="00D41549">
        <w:t xml:space="preserve"> developing chronic HBV.  </w:t>
      </w:r>
    </w:p>
    <w:p w:rsidRPr="00AF6778" w:rsidR="00FB7427" w:rsidP="00126142" w:rsidRDefault="00643B5C" w14:paraId="7F749D65" w14:textId="77777777">
      <w:pPr>
        <w:pStyle w:val="AZListParagraph"/>
      </w:pPr>
      <w:r w:rsidRPr="00AF6778">
        <w:t xml:space="preserve">Only a small </w:t>
      </w:r>
      <w:r w:rsidRPr="00AF6778" w:rsidR="00FB7427">
        <w:t xml:space="preserve">percentage of </w:t>
      </w:r>
      <w:r w:rsidRPr="00AF6778" w:rsidR="00053AE0">
        <w:t>patient</w:t>
      </w:r>
      <w:r w:rsidRPr="00AF6778">
        <w:t>s (approximately 1%) will simultan</w:t>
      </w:r>
      <w:r w:rsidRPr="00AF6778" w:rsidR="00335840">
        <w:t xml:space="preserve">eously </w:t>
      </w:r>
      <w:r w:rsidRPr="00AF6778">
        <w:t xml:space="preserve">test positive for HBsAg and anti-HBsAg. </w:t>
      </w:r>
      <w:r w:rsidRPr="00AF6778" w:rsidR="00053AE0">
        <w:t xml:space="preserve"> </w:t>
      </w:r>
    </w:p>
    <w:p w:rsidRPr="00AF6778" w:rsidR="00FC0BBB" w:rsidP="00126142" w:rsidRDefault="00B0511F" w14:paraId="6EBAE436" w14:textId="77777777">
      <w:pPr>
        <w:pStyle w:val="AZListParagraph"/>
      </w:pPr>
      <w:bookmarkStart w:name="_Hlk171435723" w:id="0"/>
      <w:r w:rsidRPr="00AF6778">
        <w:t>This testing is offered as part</w:t>
      </w:r>
      <w:r w:rsidRPr="00AF6778" w:rsidR="00FC0BBB">
        <w:t xml:space="preserve"> of the Hepatitis B Panel </w:t>
      </w:r>
      <w:r w:rsidRPr="00AF6778" w:rsidR="00AF6197">
        <w:t>which includes</w:t>
      </w:r>
      <w:r w:rsidRPr="00AF6778" w:rsidR="00FC0BBB">
        <w:t xml:space="preserve"> HBV surface antigen (HBs</w:t>
      </w:r>
      <w:r w:rsidRPr="00AF6778" w:rsidR="008004D0">
        <w:t>Ag</w:t>
      </w:r>
      <w:r w:rsidRPr="00AF6778" w:rsidR="00FC0BBB">
        <w:t>)</w:t>
      </w:r>
      <w:r w:rsidRPr="00AF6778" w:rsidR="00AF6197">
        <w:t xml:space="preserve">, </w:t>
      </w:r>
      <w:r w:rsidRPr="00AF6778" w:rsidR="00FC0BBB">
        <w:t>anti-hepatitis B surface antigen (</w:t>
      </w:r>
      <w:r w:rsidRPr="00AF6778" w:rsidR="008004D0">
        <w:t>anti-</w:t>
      </w:r>
      <w:r w:rsidRPr="00AF6778" w:rsidR="00FC0BBB">
        <w:t>HBs</w:t>
      </w:r>
      <w:r w:rsidRPr="00AF6778" w:rsidR="008004D0">
        <w:t xml:space="preserve"> or </w:t>
      </w:r>
      <w:proofErr w:type="spellStart"/>
      <w:r w:rsidRPr="00AF6778" w:rsidR="008004D0">
        <w:t>HBsAb</w:t>
      </w:r>
      <w:proofErr w:type="spellEnd"/>
      <w:r w:rsidRPr="00AF6778" w:rsidR="00FC0BBB">
        <w:t>) and anti-hepatitis B core antigen (</w:t>
      </w:r>
      <w:r w:rsidRPr="00AF6778" w:rsidR="008004D0">
        <w:t>anti-</w:t>
      </w:r>
      <w:r w:rsidRPr="00AF6778" w:rsidR="00FC0BBB">
        <w:t>HBc</w:t>
      </w:r>
      <w:r w:rsidRPr="00AF6778" w:rsidR="008004D0">
        <w:t xml:space="preserve"> or </w:t>
      </w:r>
      <w:proofErr w:type="spellStart"/>
      <w:r w:rsidRPr="00AF6778" w:rsidR="008004D0">
        <w:t>HBcAb</w:t>
      </w:r>
      <w:proofErr w:type="spellEnd"/>
      <w:r w:rsidRPr="00AF6778" w:rsidR="00FC0BBB">
        <w:t xml:space="preserve">).  </w:t>
      </w:r>
    </w:p>
    <w:p w:rsidRPr="00AF6778" w:rsidR="00FC0BBB" w:rsidP="00126142" w:rsidRDefault="00FC0BBB" w14:paraId="12D1CC47" w14:textId="77777777">
      <w:pPr>
        <w:pStyle w:val="AZListParagraph"/>
      </w:pPr>
      <w:r w:rsidRPr="00AF6778">
        <w:t xml:space="preserve">The addition of </w:t>
      </w:r>
      <w:proofErr w:type="spellStart"/>
      <w:r w:rsidRPr="00AF6778">
        <w:t>HBcAb</w:t>
      </w:r>
      <w:proofErr w:type="spellEnd"/>
      <w:r w:rsidRPr="00AF6778">
        <w:t xml:space="preserve"> is following CDC’s 2023 recommendations for hepatitis B screening and testing and will provide information regarding previous or current infections with hepatitis B and immune status of patients: </w:t>
      </w:r>
      <w:hyperlink w:history="1" r:id="rId9">
        <w:r w:rsidRPr="00AF6778">
          <w:rPr>
            <w:rStyle w:val="Hyperlink"/>
            <w:color w:val="auto"/>
          </w:rPr>
          <w:t>Hepatitis B - FAQs, Statistics, Data, &amp; Guidelines | CDC</w:t>
        </w:r>
      </w:hyperlink>
      <w:r w:rsidRPr="00AF6778">
        <w:t>.</w:t>
      </w:r>
    </w:p>
    <w:p w:rsidR="001C45D3" w:rsidP="00126142" w:rsidRDefault="00FC0BBB" w14:paraId="403ED7D8" w14:textId="3405CADC">
      <w:pPr>
        <w:pStyle w:val="AZListParagraph"/>
      </w:pPr>
      <w:bookmarkStart w:name="_Hlk171436168" w:id="1"/>
      <w:bookmarkEnd w:id="0"/>
      <w:r w:rsidRPr="00AF6778">
        <w:t>The following interpretation guide will be provided at the end of each patient report</w:t>
      </w:r>
      <w:r w:rsidRPr="00AF6778" w:rsidR="005F7A5E">
        <w:t xml:space="preserve"> when the Hepatitis B panel is ordered</w:t>
      </w:r>
      <w:r w:rsidRPr="00AF6778">
        <w:t>:</w:t>
      </w:r>
    </w:p>
    <w:p w:rsidR="001C45D3" w:rsidP="068C5738" w:rsidRDefault="001C45D3" w14:paraId="3617AF89" w14:textId="6C4B4836"/>
    <w:p w:rsidR="00A6137D" w:rsidP="068C5738" w:rsidRDefault="00A6137D" w14:paraId="433CEBAC" w14:textId="77777777"/>
    <w:p w:rsidRPr="00AF6778" w:rsidR="00B42DDF" w:rsidP="068C5738" w:rsidRDefault="00B42DDF" w14:paraId="09170F25" w14:textId="77777777"/>
    <w:tbl>
      <w:tblPr>
        <w:tblW w:w="1026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C0" w:firstRow="0" w:lastRow="1" w:firstColumn="1" w:lastColumn="1" w:noHBand="0" w:noVBand="0"/>
      </w:tblPr>
      <w:tblGrid>
        <w:gridCol w:w="980"/>
        <w:gridCol w:w="990"/>
        <w:gridCol w:w="990"/>
        <w:gridCol w:w="3610"/>
        <w:gridCol w:w="3690"/>
      </w:tblGrid>
      <w:tr w:rsidRPr="009A472F" w:rsidR="002221A4" w:rsidTr="0091530F" w14:paraId="28E82453" w14:textId="77777777">
        <w:trPr>
          <w:trHeight w:val="560"/>
          <w:jc w:val="center"/>
        </w:trPr>
        <w:tc>
          <w:tcPr>
            <w:tcW w:w="980" w:type="dxa"/>
            <w:shd w:val="clear" w:color="auto" w:fill="DBDBDB"/>
          </w:tcPr>
          <w:p w:rsidRPr="009A472F" w:rsidR="002221A4" w:rsidP="0091530F" w:rsidRDefault="002221A4" w14:paraId="3272DBB8" w14:textId="77777777">
            <w:pPr>
              <w:pStyle w:val="TableParagraph"/>
              <w:spacing w:before="18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A472F">
              <w:rPr>
                <w:rFonts w:ascii="Arial" w:hAnsi="Arial" w:cs="Arial"/>
                <w:b/>
                <w:spacing w:val="-2"/>
                <w:sz w:val="24"/>
                <w:szCs w:val="24"/>
              </w:rPr>
              <w:t>HBsAg</w:t>
            </w:r>
          </w:p>
        </w:tc>
        <w:tc>
          <w:tcPr>
            <w:tcW w:w="990" w:type="dxa"/>
            <w:shd w:val="clear" w:color="auto" w:fill="DBDBDB"/>
          </w:tcPr>
          <w:p w:rsidRPr="009A472F" w:rsidR="002221A4" w:rsidP="0091530F" w:rsidRDefault="002221A4" w14:paraId="7B63E2E1" w14:textId="77777777">
            <w:pPr>
              <w:pStyle w:val="TableParagraph"/>
              <w:spacing w:before="18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A472F">
              <w:rPr>
                <w:rFonts w:ascii="Arial" w:hAnsi="Arial" w:cs="Arial"/>
                <w:b/>
                <w:spacing w:val="-2"/>
                <w:sz w:val="24"/>
                <w:szCs w:val="24"/>
              </w:rPr>
              <w:t>HBsAb</w:t>
            </w:r>
            <w:proofErr w:type="spellEnd"/>
          </w:p>
        </w:tc>
        <w:tc>
          <w:tcPr>
            <w:tcW w:w="990" w:type="dxa"/>
            <w:shd w:val="clear" w:color="auto" w:fill="DBDBDB"/>
          </w:tcPr>
          <w:p w:rsidRPr="009A472F" w:rsidR="002221A4" w:rsidP="0091530F" w:rsidRDefault="002221A4" w14:paraId="4203C50E" w14:textId="77777777">
            <w:pPr>
              <w:pStyle w:val="TableParagraph"/>
              <w:spacing w:before="18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A472F">
              <w:rPr>
                <w:rFonts w:ascii="Arial" w:hAnsi="Arial" w:cs="Arial"/>
                <w:b/>
                <w:spacing w:val="-2"/>
                <w:sz w:val="24"/>
                <w:szCs w:val="24"/>
              </w:rPr>
              <w:t>HBcAb</w:t>
            </w:r>
            <w:proofErr w:type="spellEnd"/>
          </w:p>
        </w:tc>
        <w:tc>
          <w:tcPr>
            <w:tcW w:w="3610" w:type="dxa"/>
            <w:shd w:val="clear" w:color="auto" w:fill="DBDBDB"/>
          </w:tcPr>
          <w:p w:rsidRPr="009A472F" w:rsidR="002221A4" w:rsidP="0091530F" w:rsidRDefault="002221A4" w14:paraId="25AB728B" w14:textId="77777777">
            <w:pPr>
              <w:pStyle w:val="TableParagraph"/>
              <w:spacing w:before="18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A472F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Interpretation</w:t>
            </w:r>
          </w:p>
        </w:tc>
        <w:tc>
          <w:tcPr>
            <w:tcW w:w="3690" w:type="dxa"/>
            <w:tcBorders>
              <w:right w:val="single" w:color="000000" w:sz="2" w:space="0"/>
            </w:tcBorders>
            <w:shd w:val="clear" w:color="auto" w:fill="DBDBDB"/>
          </w:tcPr>
          <w:p w:rsidRPr="009A472F" w:rsidR="002221A4" w:rsidP="0091530F" w:rsidRDefault="002221A4" w14:paraId="3D560AC6" w14:textId="77777777">
            <w:pPr>
              <w:pStyle w:val="TableParagraph"/>
              <w:spacing w:before="18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A472F">
              <w:rPr>
                <w:rFonts w:ascii="Arial" w:hAnsi="Arial" w:cs="Arial"/>
                <w:b/>
                <w:spacing w:val="-2"/>
                <w:sz w:val="24"/>
                <w:szCs w:val="24"/>
              </w:rPr>
              <w:t>Action</w:t>
            </w:r>
          </w:p>
        </w:tc>
      </w:tr>
      <w:tr w:rsidRPr="009A472F" w:rsidR="002221A4" w:rsidTr="0091530F" w14:paraId="55BF8352" w14:textId="77777777">
        <w:trPr>
          <w:trHeight w:val="360"/>
          <w:jc w:val="center"/>
        </w:trPr>
        <w:tc>
          <w:tcPr>
            <w:tcW w:w="980" w:type="dxa"/>
          </w:tcPr>
          <w:p w:rsidRPr="009A472F" w:rsidR="002221A4" w:rsidP="0091530F" w:rsidRDefault="002221A4" w14:paraId="6CC6482F" w14:textId="77777777">
            <w:pPr>
              <w:pStyle w:val="TableParagraph"/>
              <w:spacing w:before="27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pacing w:val="-2"/>
                <w:sz w:val="24"/>
                <w:szCs w:val="24"/>
              </w:rPr>
              <w:t>Present</w:t>
            </w:r>
          </w:p>
        </w:tc>
        <w:tc>
          <w:tcPr>
            <w:tcW w:w="990" w:type="dxa"/>
          </w:tcPr>
          <w:p w:rsidRPr="009A472F" w:rsidR="002221A4" w:rsidP="0091530F" w:rsidRDefault="002221A4" w14:paraId="0DCC3095" w14:textId="77777777">
            <w:pPr>
              <w:pStyle w:val="TableParagraph"/>
              <w:spacing w:before="27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pacing w:val="-2"/>
                <w:sz w:val="24"/>
                <w:szCs w:val="24"/>
              </w:rPr>
              <w:t>Absent</w:t>
            </w:r>
          </w:p>
        </w:tc>
        <w:tc>
          <w:tcPr>
            <w:tcW w:w="990" w:type="dxa"/>
          </w:tcPr>
          <w:p w:rsidRPr="009A472F" w:rsidR="002221A4" w:rsidP="0091530F" w:rsidRDefault="002221A4" w14:paraId="6D708131" w14:textId="77777777">
            <w:pPr>
              <w:pStyle w:val="TableParagraph"/>
              <w:spacing w:before="27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pacing w:val="-2"/>
                <w:sz w:val="24"/>
                <w:szCs w:val="24"/>
              </w:rPr>
              <w:t>Present</w:t>
            </w:r>
          </w:p>
        </w:tc>
        <w:tc>
          <w:tcPr>
            <w:tcW w:w="3610" w:type="dxa"/>
          </w:tcPr>
          <w:p w:rsidRPr="009A472F" w:rsidR="002221A4" w:rsidP="0091530F" w:rsidRDefault="002221A4" w14:paraId="1019366E" w14:textId="77777777">
            <w:pPr>
              <w:pStyle w:val="TableParagraph"/>
              <w:spacing w:before="27" w:line="240" w:lineRule="auto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z w:val="24"/>
                <w:szCs w:val="24"/>
              </w:rPr>
              <w:t>Acute or Chronic Infection</w:t>
            </w:r>
          </w:p>
        </w:tc>
        <w:tc>
          <w:tcPr>
            <w:tcW w:w="3690" w:type="dxa"/>
          </w:tcPr>
          <w:p w:rsidRPr="009A472F" w:rsidR="002221A4" w:rsidP="0091530F" w:rsidRDefault="002221A4" w14:paraId="3249D6BB" w14:textId="77777777">
            <w:pPr>
              <w:pStyle w:val="TableParagraph"/>
              <w:spacing w:before="27" w:line="240" w:lineRule="auto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z w:val="24"/>
                <w:szCs w:val="24"/>
              </w:rPr>
              <w:t>Link</w:t>
            </w:r>
            <w:r w:rsidRPr="009A472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472F">
              <w:rPr>
                <w:rFonts w:ascii="Arial" w:hAnsi="Arial" w:cs="Arial"/>
                <w:sz w:val="24"/>
                <w:szCs w:val="24"/>
              </w:rPr>
              <w:t>patient</w:t>
            </w:r>
            <w:r w:rsidRPr="009A472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472F">
              <w:rPr>
                <w:rFonts w:ascii="Arial" w:hAnsi="Arial" w:cs="Arial"/>
                <w:sz w:val="24"/>
                <w:szCs w:val="24"/>
              </w:rPr>
              <w:t>to</w:t>
            </w:r>
            <w:r w:rsidRPr="009A472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472F">
              <w:rPr>
                <w:rFonts w:ascii="Arial" w:hAnsi="Arial" w:cs="Arial"/>
                <w:sz w:val="24"/>
                <w:szCs w:val="24"/>
              </w:rPr>
              <w:t>hepatitis</w:t>
            </w:r>
            <w:r w:rsidRPr="009A472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A472F">
              <w:rPr>
                <w:rFonts w:ascii="Arial" w:hAnsi="Arial" w:cs="Arial"/>
                <w:sz w:val="24"/>
                <w:szCs w:val="24"/>
              </w:rPr>
              <w:t>B</w:t>
            </w:r>
            <w:r w:rsidRPr="009A472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472F">
              <w:rPr>
                <w:rFonts w:ascii="Arial" w:hAnsi="Arial" w:cs="Arial"/>
                <w:spacing w:val="-4"/>
                <w:sz w:val="24"/>
                <w:szCs w:val="24"/>
              </w:rPr>
              <w:t>care</w:t>
            </w:r>
          </w:p>
        </w:tc>
      </w:tr>
      <w:tr w:rsidRPr="009A472F" w:rsidR="002221A4" w:rsidTr="0091530F" w14:paraId="440119CD" w14:textId="77777777">
        <w:trPr>
          <w:trHeight w:val="727"/>
          <w:jc w:val="center"/>
        </w:trPr>
        <w:tc>
          <w:tcPr>
            <w:tcW w:w="980" w:type="dxa"/>
          </w:tcPr>
          <w:p w:rsidRPr="009A472F" w:rsidR="002221A4" w:rsidP="0091530F" w:rsidRDefault="002221A4" w14:paraId="2F1DD441" w14:textId="77777777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pacing w:val="-2"/>
                <w:sz w:val="24"/>
                <w:szCs w:val="24"/>
              </w:rPr>
              <w:t>Absent</w:t>
            </w:r>
          </w:p>
        </w:tc>
        <w:tc>
          <w:tcPr>
            <w:tcW w:w="990" w:type="dxa"/>
          </w:tcPr>
          <w:p w:rsidRPr="009A472F" w:rsidR="002221A4" w:rsidP="0091530F" w:rsidRDefault="002221A4" w14:paraId="266497EF" w14:textId="77777777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pacing w:val="-2"/>
                <w:sz w:val="24"/>
                <w:szCs w:val="24"/>
              </w:rPr>
              <w:t>Present</w:t>
            </w:r>
          </w:p>
        </w:tc>
        <w:tc>
          <w:tcPr>
            <w:tcW w:w="990" w:type="dxa"/>
          </w:tcPr>
          <w:p w:rsidRPr="009A472F" w:rsidR="002221A4" w:rsidP="0091530F" w:rsidRDefault="002221A4" w14:paraId="7C2568E3" w14:textId="77777777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pacing w:val="-2"/>
                <w:sz w:val="24"/>
                <w:szCs w:val="24"/>
              </w:rPr>
              <w:t>Present</w:t>
            </w:r>
          </w:p>
        </w:tc>
        <w:tc>
          <w:tcPr>
            <w:tcW w:w="3610" w:type="dxa"/>
          </w:tcPr>
          <w:p w:rsidRPr="009A472F" w:rsidR="002221A4" w:rsidP="0091530F" w:rsidRDefault="002221A4" w14:paraId="4235CE17" w14:textId="77777777">
            <w:pPr>
              <w:pStyle w:val="TableParagraph"/>
              <w:spacing w:before="27" w:line="240" w:lineRule="auto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z w:val="24"/>
                <w:szCs w:val="24"/>
              </w:rPr>
              <w:t>Resolved infection</w:t>
            </w:r>
          </w:p>
        </w:tc>
        <w:tc>
          <w:tcPr>
            <w:tcW w:w="3690" w:type="dxa"/>
          </w:tcPr>
          <w:p w:rsidRPr="009A472F" w:rsidR="002221A4" w:rsidP="0091530F" w:rsidRDefault="002221A4" w14:paraId="25302B7D" w14:textId="77777777">
            <w:pPr>
              <w:pStyle w:val="TableParagraph"/>
              <w:spacing w:before="27" w:line="240" w:lineRule="auto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z w:val="24"/>
                <w:szCs w:val="24"/>
              </w:rPr>
              <w:t>Counsel patient about HBV infection reactivation risk</w:t>
            </w:r>
          </w:p>
        </w:tc>
      </w:tr>
      <w:tr w:rsidRPr="009A472F" w:rsidR="002221A4" w:rsidTr="0091530F" w14:paraId="38082BF9" w14:textId="77777777">
        <w:trPr>
          <w:trHeight w:val="1330"/>
          <w:jc w:val="center"/>
        </w:trPr>
        <w:tc>
          <w:tcPr>
            <w:tcW w:w="980" w:type="dxa"/>
          </w:tcPr>
          <w:p w:rsidRPr="009A472F" w:rsidR="002221A4" w:rsidP="0091530F" w:rsidRDefault="002221A4" w14:paraId="79479A92" w14:textId="77777777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pacing w:val="-2"/>
                <w:sz w:val="24"/>
                <w:szCs w:val="24"/>
              </w:rPr>
              <w:t>Absent</w:t>
            </w:r>
          </w:p>
        </w:tc>
        <w:tc>
          <w:tcPr>
            <w:tcW w:w="990" w:type="dxa"/>
          </w:tcPr>
          <w:p w:rsidRPr="009A472F" w:rsidR="002221A4" w:rsidP="0091530F" w:rsidRDefault="002221A4" w14:paraId="4B01CFB8" w14:textId="77777777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pacing w:val="-2"/>
                <w:sz w:val="24"/>
                <w:szCs w:val="24"/>
              </w:rPr>
              <w:t>Present</w:t>
            </w:r>
          </w:p>
        </w:tc>
        <w:tc>
          <w:tcPr>
            <w:tcW w:w="990" w:type="dxa"/>
          </w:tcPr>
          <w:p w:rsidRPr="009A472F" w:rsidR="002221A4" w:rsidP="0091530F" w:rsidRDefault="002221A4" w14:paraId="1F8AA947" w14:textId="77777777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pacing w:val="-2"/>
                <w:sz w:val="24"/>
                <w:szCs w:val="24"/>
              </w:rPr>
              <w:t>Absent</w:t>
            </w:r>
          </w:p>
        </w:tc>
        <w:tc>
          <w:tcPr>
            <w:tcW w:w="3610" w:type="dxa"/>
          </w:tcPr>
          <w:p w:rsidRPr="009A472F" w:rsidR="002221A4" w:rsidP="0091530F" w:rsidRDefault="002221A4" w14:paraId="258CBDB2" w14:textId="77777777">
            <w:pPr>
              <w:pStyle w:val="TableParagraph"/>
              <w:spacing w:before="27" w:line="240" w:lineRule="auto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z w:val="24"/>
                <w:szCs w:val="24"/>
              </w:rPr>
              <w:t>Immune due to receipt of prior vaccination (if documented complete series)</w:t>
            </w:r>
          </w:p>
        </w:tc>
        <w:tc>
          <w:tcPr>
            <w:tcW w:w="3690" w:type="dxa"/>
          </w:tcPr>
          <w:p w:rsidRPr="009A472F" w:rsidR="002221A4" w:rsidP="0091530F" w:rsidRDefault="002221A4" w14:paraId="23561248" w14:textId="77777777">
            <w:pPr>
              <w:pStyle w:val="TableParagraph"/>
              <w:spacing w:before="27" w:line="240" w:lineRule="auto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z w:val="24"/>
                <w:szCs w:val="24"/>
              </w:rPr>
              <w:t xml:space="preserve">If no documentation of full vaccination, then complete vaccine series per ACIP recommendations. </w:t>
            </w:r>
          </w:p>
        </w:tc>
      </w:tr>
      <w:tr w:rsidRPr="009A472F" w:rsidR="002221A4" w:rsidTr="0091530F" w14:paraId="684971FA" w14:textId="77777777">
        <w:trPr>
          <w:trHeight w:val="580"/>
          <w:jc w:val="center"/>
        </w:trPr>
        <w:tc>
          <w:tcPr>
            <w:tcW w:w="980" w:type="dxa"/>
          </w:tcPr>
          <w:p w:rsidRPr="009A472F" w:rsidR="002221A4" w:rsidP="0091530F" w:rsidRDefault="002221A4" w14:paraId="2C8BC4CD" w14:textId="77777777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pacing w:val="-2"/>
                <w:sz w:val="24"/>
                <w:szCs w:val="24"/>
              </w:rPr>
              <w:t>Absent</w:t>
            </w:r>
          </w:p>
        </w:tc>
        <w:tc>
          <w:tcPr>
            <w:tcW w:w="990" w:type="dxa"/>
          </w:tcPr>
          <w:p w:rsidRPr="009A472F" w:rsidR="002221A4" w:rsidP="0091530F" w:rsidRDefault="002221A4" w14:paraId="0909C20B" w14:textId="77777777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pacing w:val="-2"/>
                <w:sz w:val="24"/>
                <w:szCs w:val="24"/>
              </w:rPr>
              <w:t>Absent</w:t>
            </w:r>
          </w:p>
        </w:tc>
        <w:tc>
          <w:tcPr>
            <w:tcW w:w="990" w:type="dxa"/>
          </w:tcPr>
          <w:p w:rsidRPr="009A472F" w:rsidR="002221A4" w:rsidP="0091530F" w:rsidRDefault="002221A4" w14:paraId="5665E41B" w14:textId="77777777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pacing w:val="-2"/>
                <w:sz w:val="24"/>
                <w:szCs w:val="24"/>
              </w:rPr>
              <w:t>Absent</w:t>
            </w:r>
          </w:p>
        </w:tc>
        <w:tc>
          <w:tcPr>
            <w:tcW w:w="3610" w:type="dxa"/>
          </w:tcPr>
          <w:p w:rsidRPr="009A472F" w:rsidR="002221A4" w:rsidP="0091530F" w:rsidRDefault="002221A4" w14:paraId="1DECBDEC" w14:textId="77777777">
            <w:pPr>
              <w:pStyle w:val="TableParagraph"/>
              <w:spacing w:before="27" w:line="240" w:lineRule="auto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z w:val="24"/>
                <w:szCs w:val="24"/>
              </w:rPr>
              <w:t>Susceptible, never infected (if no documentation of full vaccination)</w:t>
            </w:r>
          </w:p>
        </w:tc>
        <w:tc>
          <w:tcPr>
            <w:tcW w:w="3690" w:type="dxa"/>
          </w:tcPr>
          <w:p w:rsidRPr="009A472F" w:rsidR="002221A4" w:rsidP="0091530F" w:rsidRDefault="002221A4" w14:paraId="1E3EBF9B" w14:textId="77777777">
            <w:pPr>
              <w:pStyle w:val="TableParagraph"/>
              <w:spacing w:before="27" w:line="240" w:lineRule="auto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z w:val="24"/>
                <w:szCs w:val="24"/>
              </w:rPr>
              <w:t xml:space="preserve">Offer patient </w:t>
            </w:r>
            <w:proofErr w:type="spellStart"/>
            <w:r w:rsidRPr="009A472F">
              <w:rPr>
                <w:rFonts w:ascii="Arial" w:hAnsi="Arial" w:cs="Arial"/>
                <w:sz w:val="24"/>
                <w:szCs w:val="24"/>
              </w:rPr>
              <w:t>HepB</w:t>
            </w:r>
            <w:proofErr w:type="spellEnd"/>
            <w:r w:rsidRPr="009A472F">
              <w:rPr>
                <w:rFonts w:ascii="Arial" w:hAnsi="Arial" w:cs="Arial"/>
                <w:sz w:val="24"/>
                <w:szCs w:val="24"/>
              </w:rPr>
              <w:t xml:space="preserve"> vaccine per ACIP recommendations</w:t>
            </w:r>
          </w:p>
        </w:tc>
      </w:tr>
      <w:tr w:rsidRPr="009A472F" w:rsidR="002221A4" w:rsidTr="0091530F" w14:paraId="15C439FE" w14:textId="77777777">
        <w:trPr>
          <w:trHeight w:val="2905"/>
          <w:jc w:val="center"/>
        </w:trPr>
        <w:tc>
          <w:tcPr>
            <w:tcW w:w="980" w:type="dxa"/>
          </w:tcPr>
          <w:p w:rsidRPr="009A472F" w:rsidR="002221A4" w:rsidP="0091530F" w:rsidRDefault="002221A4" w14:paraId="64A66766" w14:textId="77777777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pacing w:val="-2"/>
                <w:sz w:val="24"/>
                <w:szCs w:val="24"/>
              </w:rPr>
              <w:t>Absent</w:t>
            </w:r>
          </w:p>
        </w:tc>
        <w:tc>
          <w:tcPr>
            <w:tcW w:w="990" w:type="dxa"/>
          </w:tcPr>
          <w:p w:rsidRPr="009A472F" w:rsidR="002221A4" w:rsidP="0091530F" w:rsidRDefault="002221A4" w14:paraId="5ED99D41" w14:textId="77777777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pacing w:val="-2"/>
                <w:sz w:val="24"/>
                <w:szCs w:val="24"/>
              </w:rPr>
              <w:t>Absent</w:t>
            </w:r>
          </w:p>
        </w:tc>
        <w:tc>
          <w:tcPr>
            <w:tcW w:w="990" w:type="dxa"/>
          </w:tcPr>
          <w:p w:rsidRPr="009A472F" w:rsidR="002221A4" w:rsidP="0091530F" w:rsidRDefault="002221A4" w14:paraId="5D72A15A" w14:textId="77777777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pacing w:val="-2"/>
                <w:sz w:val="24"/>
                <w:szCs w:val="24"/>
              </w:rPr>
              <w:t>Present</w:t>
            </w:r>
          </w:p>
        </w:tc>
        <w:tc>
          <w:tcPr>
            <w:tcW w:w="3610" w:type="dxa"/>
          </w:tcPr>
          <w:p w:rsidRPr="009A472F" w:rsidR="002221A4" w:rsidP="0091530F" w:rsidRDefault="002221A4" w14:paraId="11A4D244" w14:textId="77777777">
            <w:pPr>
              <w:pStyle w:val="TableParagraph"/>
              <w:spacing w:before="0" w:line="240" w:lineRule="auto"/>
              <w:ind w:right="766"/>
              <w:rPr>
                <w:rFonts w:ascii="Arial" w:hAnsi="Arial" w:cs="Arial"/>
                <w:iCs/>
                <w:color w:val="202429"/>
                <w:sz w:val="24"/>
                <w:szCs w:val="24"/>
              </w:rPr>
            </w:pPr>
            <w:r w:rsidRPr="009A472F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Possible interpretations when only </w:t>
            </w:r>
            <w:proofErr w:type="spellStart"/>
            <w:r w:rsidRPr="009A472F">
              <w:rPr>
                <w:rFonts w:ascii="Arial" w:hAnsi="Arial" w:cs="Arial"/>
                <w:b/>
                <w:iCs/>
                <w:sz w:val="24"/>
                <w:szCs w:val="24"/>
              </w:rPr>
              <w:t>HBcAb</w:t>
            </w:r>
            <w:proofErr w:type="spellEnd"/>
            <w:r w:rsidRPr="009A472F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is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Pr="009A472F">
              <w:rPr>
                <w:rFonts w:ascii="Arial" w:hAnsi="Arial" w:cs="Arial"/>
                <w:b/>
                <w:iCs/>
                <w:spacing w:val="-2"/>
                <w:sz w:val="24"/>
                <w:szCs w:val="24"/>
              </w:rPr>
              <w:t>present:</w:t>
            </w:r>
          </w:p>
          <w:p w:rsidRPr="009A472F" w:rsidR="002221A4" w:rsidP="002221A4" w:rsidRDefault="002221A4" w14:paraId="7B2322A3" w14:textId="77777777">
            <w:pPr>
              <w:pStyle w:val="TableParagraph"/>
              <w:numPr>
                <w:ilvl w:val="0"/>
                <w:numId w:val="22"/>
              </w:numPr>
              <w:spacing w:before="67" w:line="276" w:lineRule="auto"/>
              <w:ind w:right="766"/>
              <w:rPr>
                <w:rFonts w:ascii="Arial" w:hAnsi="Arial" w:cs="Arial"/>
                <w:color w:val="202429"/>
                <w:spacing w:val="-2"/>
                <w:sz w:val="24"/>
                <w:szCs w:val="24"/>
              </w:rPr>
            </w:pPr>
            <w:r w:rsidRPr="009A472F">
              <w:rPr>
                <w:rFonts w:ascii="Arial" w:hAnsi="Arial" w:cs="Arial"/>
                <w:color w:val="202429"/>
                <w:sz w:val="24"/>
                <w:szCs w:val="24"/>
              </w:rPr>
              <w:t>Resolved infection</w:t>
            </w:r>
            <w:r w:rsidRPr="009A472F">
              <w:rPr>
                <w:rFonts w:ascii="Arial" w:hAnsi="Arial" w:cs="Arial"/>
                <w:color w:val="202429"/>
                <w:spacing w:val="1"/>
                <w:sz w:val="24"/>
                <w:szCs w:val="24"/>
              </w:rPr>
              <w:t xml:space="preserve"> </w:t>
            </w:r>
            <w:r w:rsidRPr="009A472F">
              <w:rPr>
                <w:rFonts w:ascii="Arial" w:hAnsi="Arial" w:cs="Arial"/>
                <w:color w:val="202429"/>
                <w:sz w:val="24"/>
                <w:szCs w:val="24"/>
              </w:rPr>
              <w:t xml:space="preserve">where </w:t>
            </w:r>
            <w:proofErr w:type="spellStart"/>
            <w:r w:rsidRPr="009A472F">
              <w:rPr>
                <w:rFonts w:ascii="Arial" w:hAnsi="Arial" w:cs="Arial"/>
                <w:color w:val="202429"/>
                <w:spacing w:val="-2"/>
                <w:sz w:val="24"/>
                <w:szCs w:val="24"/>
              </w:rPr>
              <w:t>HBsAb</w:t>
            </w:r>
            <w:proofErr w:type="spellEnd"/>
            <w:r w:rsidRPr="009A47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472F">
              <w:rPr>
                <w:rFonts w:ascii="Arial" w:hAnsi="Arial" w:cs="Arial"/>
                <w:color w:val="202429"/>
                <w:sz w:val="24"/>
                <w:szCs w:val="24"/>
              </w:rPr>
              <w:t>levels</w:t>
            </w:r>
            <w:r w:rsidRPr="009A472F">
              <w:rPr>
                <w:rFonts w:ascii="Arial" w:hAnsi="Arial" w:cs="Arial"/>
                <w:color w:val="202429"/>
                <w:spacing w:val="1"/>
                <w:sz w:val="24"/>
                <w:szCs w:val="24"/>
              </w:rPr>
              <w:t xml:space="preserve"> </w:t>
            </w:r>
            <w:r w:rsidRPr="009A472F">
              <w:rPr>
                <w:rFonts w:ascii="Arial" w:hAnsi="Arial" w:cs="Arial"/>
                <w:color w:val="202429"/>
                <w:sz w:val="24"/>
                <w:szCs w:val="24"/>
              </w:rPr>
              <w:t>have</w:t>
            </w:r>
            <w:r w:rsidRPr="009A472F">
              <w:rPr>
                <w:rFonts w:ascii="Arial" w:hAnsi="Arial" w:cs="Arial"/>
                <w:color w:val="202429"/>
                <w:spacing w:val="1"/>
                <w:sz w:val="24"/>
                <w:szCs w:val="24"/>
              </w:rPr>
              <w:t xml:space="preserve"> </w:t>
            </w:r>
            <w:r w:rsidRPr="009A472F">
              <w:rPr>
                <w:rFonts w:ascii="Arial" w:hAnsi="Arial" w:cs="Arial"/>
                <w:color w:val="202429"/>
                <w:spacing w:val="-2"/>
                <w:sz w:val="24"/>
                <w:szCs w:val="24"/>
              </w:rPr>
              <w:t>waned</w:t>
            </w:r>
            <w:r>
              <w:rPr>
                <w:rFonts w:ascii="Arial" w:hAnsi="Arial" w:cs="Arial"/>
                <w:color w:val="202429"/>
                <w:spacing w:val="-2"/>
                <w:sz w:val="24"/>
                <w:szCs w:val="24"/>
              </w:rPr>
              <w:t>.</w:t>
            </w:r>
          </w:p>
          <w:p w:rsidRPr="009A472F" w:rsidR="002221A4" w:rsidP="002221A4" w:rsidRDefault="002221A4" w14:paraId="0DF4C04D" w14:textId="77777777">
            <w:pPr>
              <w:pStyle w:val="TableParagraph"/>
              <w:numPr>
                <w:ilvl w:val="0"/>
                <w:numId w:val="22"/>
              </w:numPr>
              <w:spacing w:before="67" w:line="276" w:lineRule="auto"/>
              <w:ind w:right="766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z w:val="24"/>
                <w:szCs w:val="24"/>
              </w:rPr>
              <w:t xml:space="preserve">Passive transfer of </w:t>
            </w:r>
            <w:proofErr w:type="spellStart"/>
            <w:r w:rsidRPr="009A472F">
              <w:rPr>
                <w:rFonts w:ascii="Arial" w:hAnsi="Arial" w:cs="Arial"/>
                <w:sz w:val="24"/>
                <w:szCs w:val="24"/>
              </w:rPr>
              <w:t>HBcAb</w:t>
            </w:r>
            <w:proofErr w:type="spellEnd"/>
            <w:r w:rsidRPr="009A472F">
              <w:rPr>
                <w:rFonts w:ascii="Arial" w:hAnsi="Arial" w:cs="Arial"/>
                <w:sz w:val="24"/>
                <w:szCs w:val="24"/>
              </w:rPr>
              <w:t xml:space="preserve"> to an infant born to an HBsAg- positive gestational parent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Pr="009A472F" w:rsidR="002221A4" w:rsidP="002221A4" w:rsidRDefault="002221A4" w14:paraId="018211D5" w14:textId="77777777">
            <w:pPr>
              <w:pStyle w:val="TableParagraph"/>
              <w:numPr>
                <w:ilvl w:val="0"/>
                <w:numId w:val="22"/>
              </w:numPr>
              <w:spacing w:before="67" w:line="276" w:lineRule="auto"/>
              <w:ind w:right="766"/>
              <w:rPr>
                <w:rFonts w:ascii="Arial" w:hAnsi="Arial" w:cs="Arial"/>
                <w:color w:val="202429"/>
                <w:spacing w:val="-2"/>
                <w:sz w:val="24"/>
                <w:szCs w:val="24"/>
              </w:rPr>
            </w:pPr>
            <w:r w:rsidRPr="009A472F">
              <w:rPr>
                <w:rFonts w:ascii="Arial" w:hAnsi="Arial" w:cs="Arial"/>
                <w:color w:val="202429"/>
                <w:sz w:val="24"/>
                <w:szCs w:val="24"/>
              </w:rPr>
              <w:t>A</w:t>
            </w:r>
            <w:r w:rsidRPr="009A472F">
              <w:rPr>
                <w:rFonts w:ascii="Arial" w:hAnsi="Arial" w:cs="Arial"/>
                <w:color w:val="202429"/>
                <w:spacing w:val="3"/>
                <w:sz w:val="24"/>
                <w:szCs w:val="24"/>
              </w:rPr>
              <w:t xml:space="preserve"> </w:t>
            </w:r>
            <w:r w:rsidRPr="009A472F">
              <w:rPr>
                <w:rFonts w:ascii="Arial" w:hAnsi="Arial" w:cs="Arial"/>
                <w:color w:val="202429"/>
                <w:sz w:val="24"/>
                <w:szCs w:val="24"/>
              </w:rPr>
              <w:t>possible</w:t>
            </w:r>
            <w:r w:rsidRPr="009A472F">
              <w:rPr>
                <w:rFonts w:ascii="Arial" w:hAnsi="Arial" w:cs="Arial"/>
                <w:color w:val="202429"/>
                <w:spacing w:val="2"/>
                <w:sz w:val="24"/>
                <w:szCs w:val="24"/>
              </w:rPr>
              <w:t xml:space="preserve"> </w:t>
            </w:r>
            <w:r w:rsidRPr="009A472F">
              <w:rPr>
                <w:rFonts w:ascii="Arial" w:hAnsi="Arial" w:cs="Arial"/>
                <w:color w:val="202429"/>
                <w:sz w:val="24"/>
                <w:szCs w:val="24"/>
              </w:rPr>
              <w:t>false</w:t>
            </w:r>
            <w:r w:rsidRPr="009A472F">
              <w:rPr>
                <w:rFonts w:ascii="Arial" w:hAnsi="Arial" w:cs="Arial"/>
                <w:color w:val="202429"/>
                <w:spacing w:val="3"/>
                <w:sz w:val="24"/>
                <w:szCs w:val="24"/>
              </w:rPr>
              <w:t xml:space="preserve"> </w:t>
            </w:r>
            <w:r w:rsidRPr="009A472F">
              <w:rPr>
                <w:rFonts w:ascii="Arial" w:hAnsi="Arial" w:cs="Arial"/>
                <w:color w:val="202429"/>
                <w:sz w:val="24"/>
                <w:szCs w:val="24"/>
              </w:rPr>
              <w:t>positive,</w:t>
            </w:r>
            <w:r w:rsidRPr="009A472F">
              <w:rPr>
                <w:rFonts w:ascii="Arial" w:hAnsi="Arial" w:cs="Arial"/>
                <w:color w:val="202429"/>
                <w:spacing w:val="3"/>
                <w:sz w:val="24"/>
                <w:szCs w:val="24"/>
              </w:rPr>
              <w:t xml:space="preserve"> </w:t>
            </w:r>
            <w:r w:rsidRPr="009A472F">
              <w:rPr>
                <w:rFonts w:ascii="Arial" w:hAnsi="Arial" w:cs="Arial"/>
                <w:color w:val="202429"/>
                <w:sz w:val="24"/>
                <w:szCs w:val="24"/>
              </w:rPr>
              <w:t>thus</w:t>
            </w:r>
            <w:r w:rsidRPr="009A472F">
              <w:rPr>
                <w:rFonts w:ascii="Arial" w:hAnsi="Arial" w:cs="Arial"/>
                <w:color w:val="202429"/>
                <w:spacing w:val="2"/>
                <w:sz w:val="24"/>
                <w:szCs w:val="24"/>
              </w:rPr>
              <w:t xml:space="preserve"> </w:t>
            </w:r>
            <w:r w:rsidRPr="009A472F">
              <w:rPr>
                <w:rFonts w:ascii="Arial" w:hAnsi="Arial" w:cs="Arial"/>
                <w:color w:val="202429"/>
                <w:spacing w:val="-2"/>
                <w:sz w:val="24"/>
                <w:szCs w:val="24"/>
              </w:rPr>
              <w:t xml:space="preserve">patient </w:t>
            </w:r>
            <w:r w:rsidRPr="009A472F">
              <w:rPr>
                <w:rFonts w:ascii="Arial" w:hAnsi="Arial" w:cs="Arial"/>
                <w:color w:val="202429"/>
                <w:sz w:val="24"/>
                <w:szCs w:val="24"/>
              </w:rPr>
              <w:t>is</w:t>
            </w:r>
            <w:r w:rsidRPr="009A472F">
              <w:rPr>
                <w:rFonts w:ascii="Arial" w:hAnsi="Arial" w:cs="Arial"/>
                <w:color w:val="202429"/>
                <w:spacing w:val="-3"/>
                <w:sz w:val="24"/>
                <w:szCs w:val="24"/>
              </w:rPr>
              <w:t xml:space="preserve"> </w:t>
            </w:r>
            <w:r w:rsidRPr="009A472F">
              <w:rPr>
                <w:rFonts w:ascii="Arial" w:hAnsi="Arial" w:cs="Arial"/>
                <w:color w:val="202429"/>
                <w:spacing w:val="-2"/>
                <w:sz w:val="24"/>
                <w:szCs w:val="24"/>
              </w:rPr>
              <w:t>susceptible</w:t>
            </w:r>
            <w:r>
              <w:rPr>
                <w:rFonts w:ascii="Arial" w:hAnsi="Arial" w:cs="Arial"/>
                <w:color w:val="202429"/>
                <w:spacing w:val="-2"/>
                <w:sz w:val="24"/>
                <w:szCs w:val="24"/>
              </w:rPr>
              <w:t>.</w:t>
            </w:r>
          </w:p>
          <w:p w:rsidRPr="009A472F" w:rsidR="002221A4" w:rsidP="002221A4" w:rsidRDefault="002221A4" w14:paraId="75F2D345" w14:textId="77777777">
            <w:pPr>
              <w:pStyle w:val="TableParagraph"/>
              <w:numPr>
                <w:ilvl w:val="0"/>
                <w:numId w:val="22"/>
              </w:numPr>
              <w:spacing w:before="67" w:line="276" w:lineRule="auto"/>
              <w:ind w:right="766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z w:val="24"/>
                <w:szCs w:val="24"/>
              </w:rPr>
              <w:t>A mutant HBsAg strain that is not detectable by laboratory assay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Pr="009A472F" w:rsidR="002221A4" w:rsidP="002221A4" w:rsidRDefault="002221A4" w14:paraId="7F9FF56D" w14:textId="77777777">
            <w:pPr>
              <w:pStyle w:val="TableParagraph"/>
              <w:numPr>
                <w:ilvl w:val="0"/>
                <w:numId w:val="22"/>
              </w:numPr>
              <w:spacing w:before="67" w:line="276" w:lineRule="auto"/>
              <w:ind w:right="766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A472F">
              <w:rPr>
                <w:rFonts w:ascii="Arial" w:hAnsi="Arial" w:cs="Arial"/>
                <w:sz w:val="24"/>
                <w:szCs w:val="24"/>
              </w:rPr>
              <w:t>Occult infection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:rsidRPr="009A472F" w:rsidR="002221A4" w:rsidP="0091530F" w:rsidRDefault="002221A4" w14:paraId="3697499D" w14:textId="77777777">
            <w:pPr>
              <w:spacing w:line="240" w:lineRule="auto"/>
              <w:ind w:left="144"/>
              <w:rPr>
                <w:rFonts w:ascii="Arial" w:hAnsi="Arial" w:cs="Arial"/>
                <w:iCs/>
              </w:rPr>
            </w:pPr>
            <w:r w:rsidRPr="009A472F">
              <w:rPr>
                <w:rFonts w:ascii="Arial" w:hAnsi="Arial" w:cs="Arial"/>
                <w:b/>
                <w:iCs/>
                <w:color w:val="202429"/>
              </w:rPr>
              <w:t>Possible</w:t>
            </w:r>
            <w:r w:rsidRPr="009A472F">
              <w:rPr>
                <w:rFonts w:ascii="Arial" w:hAnsi="Arial" w:cs="Arial"/>
                <w:iCs/>
                <w:color w:val="202429"/>
              </w:rPr>
              <w:t xml:space="preserve"> </w:t>
            </w:r>
            <w:r w:rsidRPr="009A472F">
              <w:rPr>
                <w:rFonts w:ascii="Arial" w:hAnsi="Arial" w:cs="Arial"/>
                <w:b/>
                <w:iCs/>
                <w:color w:val="202429"/>
              </w:rPr>
              <w:t>corresponding</w:t>
            </w:r>
            <w:r w:rsidRPr="009A472F">
              <w:rPr>
                <w:rFonts w:ascii="Arial" w:hAnsi="Arial" w:cs="Arial"/>
                <w:iCs/>
                <w:color w:val="202429"/>
              </w:rPr>
              <w:t xml:space="preserve"> </w:t>
            </w:r>
            <w:r w:rsidRPr="009A472F">
              <w:rPr>
                <w:rFonts w:ascii="Arial" w:hAnsi="Arial" w:cs="Arial"/>
                <w:b/>
                <w:iCs/>
                <w:color w:val="202429"/>
              </w:rPr>
              <w:t>actions</w:t>
            </w:r>
            <w:r w:rsidRPr="009A472F">
              <w:rPr>
                <w:rFonts w:ascii="Arial" w:hAnsi="Arial" w:cs="Arial"/>
                <w:iCs/>
                <w:color w:val="202429"/>
              </w:rPr>
              <w:t xml:space="preserve"> </w:t>
            </w:r>
            <w:r w:rsidRPr="009A472F">
              <w:rPr>
                <w:rFonts w:ascii="Arial" w:hAnsi="Arial" w:cs="Arial"/>
                <w:b/>
                <w:iCs/>
                <w:color w:val="202429"/>
              </w:rPr>
              <w:t>when</w:t>
            </w:r>
            <w:r w:rsidRPr="009A472F">
              <w:rPr>
                <w:rFonts w:ascii="Arial" w:hAnsi="Arial" w:cs="Arial"/>
                <w:iCs/>
                <w:color w:val="202429"/>
              </w:rPr>
              <w:t xml:space="preserve"> </w:t>
            </w:r>
            <w:r w:rsidRPr="009A472F">
              <w:rPr>
                <w:rFonts w:ascii="Arial" w:hAnsi="Arial" w:cs="Arial"/>
                <w:b/>
                <w:iCs/>
              </w:rPr>
              <w:t>only</w:t>
            </w:r>
            <w:r w:rsidRPr="009A472F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9A472F">
              <w:rPr>
                <w:rFonts w:ascii="Arial" w:hAnsi="Arial" w:cs="Arial"/>
                <w:b/>
                <w:iCs/>
              </w:rPr>
              <w:t>HBcAb</w:t>
            </w:r>
            <w:proofErr w:type="spellEnd"/>
            <w:r w:rsidRPr="009A472F">
              <w:rPr>
                <w:rFonts w:ascii="Arial" w:hAnsi="Arial" w:cs="Arial"/>
                <w:iCs/>
              </w:rPr>
              <w:t xml:space="preserve"> </w:t>
            </w:r>
            <w:r w:rsidRPr="009A472F">
              <w:rPr>
                <w:rFonts w:ascii="Arial" w:hAnsi="Arial" w:cs="Arial"/>
                <w:b/>
                <w:iCs/>
              </w:rPr>
              <w:t>is</w:t>
            </w:r>
            <w:r w:rsidRPr="009A472F">
              <w:rPr>
                <w:rFonts w:ascii="Arial" w:hAnsi="Arial" w:cs="Arial"/>
                <w:iCs/>
                <w:spacing w:val="40"/>
              </w:rPr>
              <w:t xml:space="preserve"> </w:t>
            </w:r>
            <w:r w:rsidRPr="009A472F">
              <w:rPr>
                <w:rFonts w:ascii="Arial" w:hAnsi="Arial" w:cs="Arial"/>
                <w:b/>
                <w:iCs/>
                <w:spacing w:val="-2"/>
              </w:rPr>
              <w:t>present:</w:t>
            </w:r>
            <w:r w:rsidRPr="009A472F">
              <w:rPr>
                <w:rFonts w:ascii="Arial" w:hAnsi="Arial" w:cs="Arial"/>
                <w:iCs/>
              </w:rPr>
              <w:t xml:space="preserve"> </w:t>
            </w:r>
          </w:p>
          <w:p w:rsidRPr="009A472F" w:rsidR="002221A4" w:rsidP="002221A4" w:rsidRDefault="002221A4" w14:paraId="64EFDEFB" w14:textId="77777777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</w:rPr>
            </w:pPr>
            <w:r w:rsidRPr="009A472F">
              <w:rPr>
                <w:rFonts w:ascii="Arial" w:hAnsi="Arial" w:cs="Arial"/>
                <w:iCs/>
              </w:rPr>
              <w:t xml:space="preserve">Counsel patient about HBV </w:t>
            </w:r>
            <w:r w:rsidRPr="009A472F">
              <w:rPr>
                <w:rFonts w:ascii="Arial" w:hAnsi="Arial" w:cs="Arial"/>
              </w:rPr>
              <w:t>infection reactivation risk</w:t>
            </w:r>
            <w:r>
              <w:rPr>
                <w:rFonts w:ascii="Arial" w:hAnsi="Arial" w:cs="Arial"/>
              </w:rPr>
              <w:t>.</w:t>
            </w:r>
          </w:p>
          <w:p w:rsidRPr="009A472F" w:rsidR="002221A4" w:rsidP="002221A4" w:rsidRDefault="002221A4" w14:paraId="614A1FF1" w14:textId="77777777">
            <w:pPr>
              <w:pStyle w:val="TableParagraph"/>
              <w:numPr>
                <w:ilvl w:val="0"/>
                <w:numId w:val="23"/>
              </w:numPr>
              <w:spacing w:before="67" w:line="276" w:lineRule="auto"/>
              <w:ind w:right="646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z w:val="24"/>
                <w:szCs w:val="24"/>
              </w:rPr>
              <w:t>No action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9A47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Pr="009A472F" w:rsidR="002221A4" w:rsidP="002221A4" w:rsidRDefault="002221A4" w14:paraId="73B85BCE" w14:textId="77777777">
            <w:pPr>
              <w:pStyle w:val="TableParagraph"/>
              <w:numPr>
                <w:ilvl w:val="0"/>
                <w:numId w:val="23"/>
              </w:numPr>
              <w:spacing w:before="67" w:line="276" w:lineRule="auto"/>
              <w:ind w:right="646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z w:val="24"/>
                <w:szCs w:val="24"/>
              </w:rPr>
              <w:t xml:space="preserve">Offer patient </w:t>
            </w:r>
            <w:proofErr w:type="spellStart"/>
            <w:r w:rsidRPr="009A472F">
              <w:rPr>
                <w:rFonts w:ascii="Arial" w:hAnsi="Arial" w:cs="Arial"/>
                <w:sz w:val="24"/>
                <w:szCs w:val="24"/>
              </w:rPr>
              <w:t>HepB</w:t>
            </w:r>
            <w:proofErr w:type="spellEnd"/>
            <w:r w:rsidRPr="009A472F">
              <w:rPr>
                <w:rFonts w:ascii="Arial" w:hAnsi="Arial" w:cs="Arial"/>
                <w:sz w:val="24"/>
                <w:szCs w:val="24"/>
              </w:rPr>
              <w:t xml:space="preserve"> vaccine per ACIP recommendations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Pr="009A472F" w:rsidR="002221A4" w:rsidP="002221A4" w:rsidRDefault="002221A4" w14:paraId="02A6E653" w14:textId="77777777">
            <w:pPr>
              <w:pStyle w:val="TableParagraph"/>
              <w:numPr>
                <w:ilvl w:val="0"/>
                <w:numId w:val="23"/>
              </w:numPr>
              <w:spacing w:before="67" w:line="276" w:lineRule="auto"/>
              <w:ind w:right="646"/>
              <w:rPr>
                <w:rFonts w:ascii="Arial" w:hAnsi="Arial" w:cs="Arial"/>
                <w:sz w:val="24"/>
                <w:szCs w:val="24"/>
              </w:rPr>
            </w:pPr>
            <w:r w:rsidRPr="009A472F">
              <w:rPr>
                <w:rFonts w:ascii="Arial" w:hAnsi="Arial" w:cs="Arial"/>
                <w:sz w:val="24"/>
                <w:szCs w:val="24"/>
              </w:rPr>
              <w:t>Link to hepatitis B care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Pr="009A472F" w:rsidR="002221A4" w:rsidP="002221A4" w:rsidRDefault="002221A4" w14:paraId="57DEB4A0" w14:textId="77777777">
            <w:pPr>
              <w:pStyle w:val="TableParagraph"/>
              <w:numPr>
                <w:ilvl w:val="0"/>
                <w:numId w:val="23"/>
              </w:numPr>
              <w:spacing w:before="67" w:line="276" w:lineRule="auto"/>
              <w:ind w:right="646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A472F">
              <w:rPr>
                <w:rFonts w:ascii="Arial" w:hAnsi="Arial" w:cs="Arial"/>
                <w:sz w:val="24"/>
                <w:szCs w:val="24"/>
              </w:rPr>
              <w:t xml:space="preserve">Link </w:t>
            </w:r>
            <w:proofErr w:type="gramStart"/>
            <w:r w:rsidRPr="009A472F">
              <w:rPr>
                <w:rFonts w:ascii="Arial" w:hAnsi="Arial" w:cs="Arial"/>
                <w:sz w:val="24"/>
                <w:szCs w:val="24"/>
              </w:rPr>
              <w:t>patient</w:t>
            </w:r>
            <w:proofErr w:type="gramEnd"/>
            <w:r w:rsidRPr="009A472F">
              <w:rPr>
                <w:rFonts w:ascii="Arial" w:hAnsi="Arial" w:cs="Arial"/>
                <w:sz w:val="24"/>
                <w:szCs w:val="24"/>
              </w:rPr>
              <w:t xml:space="preserve"> to hepatitis B care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Pr="00720E4F" w:rsidR="001C45D3" w:rsidP="001C45D3" w:rsidRDefault="001C45D3" w14:paraId="703F38CC" w14:textId="77777777">
      <w:pPr>
        <w:pStyle w:val="ListParagraph"/>
        <w:widowControl w:val="0"/>
        <w:tabs>
          <w:tab w:val="left" w:pos="881"/>
        </w:tabs>
        <w:autoSpaceDE w:val="0"/>
        <w:autoSpaceDN w:val="0"/>
        <w:spacing w:before="133"/>
        <w:ind w:left="0"/>
        <w:rPr>
          <w:rFonts w:cs="Arial"/>
          <w:sz w:val="14"/>
        </w:rPr>
      </w:pPr>
    </w:p>
    <w:p w:rsidRPr="00720E4F" w:rsidR="00AF6197" w:rsidP="00066CB3" w:rsidRDefault="00AF6197" w14:paraId="257A2953" w14:textId="45B5F32F">
      <w:pPr>
        <w:pStyle w:val="AZListParagraph"/>
      </w:pPr>
      <w:r w:rsidRPr="00720E4F">
        <w:t>Immune</w:t>
      </w:r>
      <w:r w:rsidRPr="00720E4F">
        <w:rPr>
          <w:spacing w:val="8"/>
        </w:rPr>
        <w:t xml:space="preserve"> </w:t>
      </w:r>
      <w:r w:rsidRPr="00720E4F">
        <w:t>if</w:t>
      </w:r>
      <w:r w:rsidRPr="00720E4F">
        <w:rPr>
          <w:spacing w:val="9"/>
        </w:rPr>
        <w:t xml:space="preserve"> </w:t>
      </w:r>
      <w:r w:rsidRPr="00720E4F">
        <w:t>anti-HBs</w:t>
      </w:r>
      <w:r w:rsidRPr="00720E4F">
        <w:rPr>
          <w:spacing w:val="9"/>
        </w:rPr>
        <w:t xml:space="preserve"> </w:t>
      </w:r>
      <w:r w:rsidRPr="00720E4F">
        <w:t>concentration</w:t>
      </w:r>
      <w:r w:rsidRPr="00720E4F">
        <w:rPr>
          <w:spacing w:val="9"/>
        </w:rPr>
        <w:t xml:space="preserve"> </w:t>
      </w:r>
      <w:r w:rsidRPr="00720E4F">
        <w:t>is</w:t>
      </w:r>
      <w:r w:rsidRPr="00720E4F">
        <w:rPr>
          <w:spacing w:val="9"/>
        </w:rPr>
        <w:t xml:space="preserve"> </w:t>
      </w:r>
      <w:r w:rsidRPr="00720E4F">
        <w:t>&gt;10</w:t>
      </w:r>
      <w:r w:rsidRPr="00720E4F">
        <w:rPr>
          <w:spacing w:val="8"/>
        </w:rPr>
        <w:t xml:space="preserve"> </w:t>
      </w:r>
      <w:proofErr w:type="spellStart"/>
      <w:r w:rsidRPr="00720E4F">
        <w:t>mIU</w:t>
      </w:r>
      <w:proofErr w:type="spellEnd"/>
      <w:r w:rsidRPr="00720E4F">
        <w:t>/mL</w:t>
      </w:r>
      <w:r w:rsidRPr="00720E4F">
        <w:rPr>
          <w:spacing w:val="9"/>
        </w:rPr>
        <w:t xml:space="preserve"> </w:t>
      </w:r>
      <w:r w:rsidRPr="00720E4F">
        <w:t>after</w:t>
      </w:r>
      <w:r w:rsidRPr="00720E4F">
        <w:rPr>
          <w:spacing w:val="9"/>
        </w:rPr>
        <w:t xml:space="preserve"> </w:t>
      </w:r>
      <w:r w:rsidRPr="00720E4F">
        <w:t>vaccine</w:t>
      </w:r>
      <w:r w:rsidRPr="00720E4F">
        <w:rPr>
          <w:spacing w:val="9"/>
        </w:rPr>
        <w:t xml:space="preserve"> </w:t>
      </w:r>
      <w:r w:rsidRPr="00720E4F">
        <w:t>series</w:t>
      </w:r>
      <w:r w:rsidRPr="00720E4F">
        <w:rPr>
          <w:spacing w:val="9"/>
        </w:rPr>
        <w:t xml:space="preserve"> </w:t>
      </w:r>
      <w:r w:rsidRPr="00720E4F">
        <w:rPr>
          <w:spacing w:val="-2"/>
        </w:rPr>
        <w:t>completion.</w:t>
      </w:r>
    </w:p>
    <w:p w:rsidRPr="00720E4F" w:rsidR="00AF6197" w:rsidP="00066CB3" w:rsidRDefault="00AF6197" w14:paraId="5A90295F" w14:textId="77777777">
      <w:pPr>
        <w:pStyle w:val="AZListParagraph"/>
        <w:rPr>
          <w:i/>
        </w:rPr>
      </w:pPr>
      <w:r w:rsidRPr="00720E4F">
        <w:t xml:space="preserve">Anti-HBs concentrations might wane over time among vaccine responders. People with a documented, complete </w:t>
      </w:r>
      <w:proofErr w:type="spellStart"/>
      <w:r w:rsidRPr="00720E4F">
        <w:t>HepB</w:t>
      </w:r>
      <w:proofErr w:type="spellEnd"/>
      <w:r w:rsidRPr="00720E4F">
        <w:t xml:space="preserve"> vaccine series typically do not</w:t>
      </w:r>
      <w:r w:rsidRPr="00720E4F">
        <w:rPr>
          <w:spacing w:val="80"/>
        </w:rPr>
        <w:t xml:space="preserve"> </w:t>
      </w:r>
      <w:r w:rsidRPr="00720E4F">
        <w:t>need</w:t>
      </w:r>
      <w:r w:rsidRPr="00720E4F">
        <w:rPr>
          <w:spacing w:val="19"/>
        </w:rPr>
        <w:t xml:space="preserve"> </w:t>
      </w:r>
      <w:r w:rsidRPr="00720E4F">
        <w:t>to</w:t>
      </w:r>
      <w:r w:rsidRPr="00720E4F">
        <w:rPr>
          <w:spacing w:val="19"/>
        </w:rPr>
        <w:t xml:space="preserve"> </w:t>
      </w:r>
      <w:r w:rsidRPr="00720E4F">
        <w:t>be</w:t>
      </w:r>
      <w:r w:rsidRPr="00720E4F">
        <w:rPr>
          <w:spacing w:val="19"/>
        </w:rPr>
        <w:t xml:space="preserve"> </w:t>
      </w:r>
      <w:r w:rsidRPr="00720E4F">
        <w:t>revaccinated,</w:t>
      </w:r>
      <w:r w:rsidRPr="00720E4F">
        <w:rPr>
          <w:spacing w:val="19"/>
        </w:rPr>
        <w:t xml:space="preserve"> </w:t>
      </w:r>
      <w:r w:rsidRPr="00720E4F">
        <w:t>except</w:t>
      </w:r>
      <w:r w:rsidRPr="00720E4F">
        <w:rPr>
          <w:spacing w:val="19"/>
        </w:rPr>
        <w:t xml:space="preserve"> </w:t>
      </w:r>
      <w:r w:rsidRPr="00720E4F">
        <w:t>for</w:t>
      </w:r>
      <w:r w:rsidRPr="00720E4F">
        <w:rPr>
          <w:spacing w:val="19"/>
        </w:rPr>
        <w:t xml:space="preserve"> </w:t>
      </w:r>
      <w:r w:rsidRPr="00720E4F">
        <w:t>special</w:t>
      </w:r>
      <w:r w:rsidRPr="00720E4F">
        <w:rPr>
          <w:spacing w:val="19"/>
        </w:rPr>
        <w:t xml:space="preserve"> </w:t>
      </w:r>
      <w:r w:rsidRPr="00720E4F">
        <w:t>populations</w:t>
      </w:r>
      <w:r w:rsidRPr="00720E4F">
        <w:rPr>
          <w:spacing w:val="19"/>
        </w:rPr>
        <w:t xml:space="preserve"> </w:t>
      </w:r>
      <w:r w:rsidRPr="00720E4F">
        <w:t>like</w:t>
      </w:r>
      <w:r w:rsidRPr="00720E4F">
        <w:rPr>
          <w:spacing w:val="19"/>
        </w:rPr>
        <w:t xml:space="preserve"> </w:t>
      </w:r>
      <w:r w:rsidRPr="00720E4F">
        <w:t>patients</w:t>
      </w:r>
      <w:r w:rsidRPr="00720E4F">
        <w:rPr>
          <w:spacing w:val="19"/>
        </w:rPr>
        <w:t xml:space="preserve"> </w:t>
      </w:r>
      <w:r w:rsidRPr="00720E4F">
        <w:t>on</w:t>
      </w:r>
      <w:r w:rsidRPr="00720E4F">
        <w:rPr>
          <w:spacing w:val="19"/>
        </w:rPr>
        <w:t xml:space="preserve"> </w:t>
      </w:r>
      <w:r w:rsidRPr="00720E4F">
        <w:t>hemodialysis</w:t>
      </w:r>
      <w:r w:rsidRPr="00720E4F">
        <w:rPr>
          <w:spacing w:val="19"/>
        </w:rPr>
        <w:t xml:space="preserve"> </w:t>
      </w:r>
      <w:r w:rsidRPr="00720E4F">
        <w:t>or</w:t>
      </w:r>
      <w:r w:rsidRPr="00720E4F">
        <w:rPr>
          <w:spacing w:val="19"/>
        </w:rPr>
        <w:t xml:space="preserve"> </w:t>
      </w:r>
      <w:r w:rsidRPr="00720E4F">
        <w:t>health</w:t>
      </w:r>
      <w:r w:rsidRPr="00720E4F">
        <w:rPr>
          <w:spacing w:val="19"/>
        </w:rPr>
        <w:t xml:space="preserve"> </w:t>
      </w:r>
      <w:r w:rsidRPr="00720E4F">
        <w:t>care</w:t>
      </w:r>
      <w:r w:rsidRPr="00720E4F">
        <w:rPr>
          <w:spacing w:val="19"/>
        </w:rPr>
        <w:t xml:space="preserve"> </w:t>
      </w:r>
      <w:r w:rsidRPr="00720E4F">
        <w:t>personnel.</w:t>
      </w:r>
    </w:p>
    <w:p w:rsidRPr="00720E4F" w:rsidR="00AF6197" w:rsidP="00066CB3" w:rsidRDefault="00AF6197" w14:paraId="1A9BF282" w14:textId="7BFC9A1E">
      <w:pPr>
        <w:pStyle w:val="AZListParagraph"/>
      </w:pPr>
      <w:r w:rsidRPr="00720E4F">
        <w:t>Hepatitis B surface antigen=HBsAg, Hepatitis B surface antibody=</w:t>
      </w:r>
      <w:proofErr w:type="spellStart"/>
      <w:r w:rsidRPr="00720E4F">
        <w:t>HBsAb</w:t>
      </w:r>
      <w:proofErr w:type="spellEnd"/>
      <w:r w:rsidRPr="00720E4F">
        <w:t>, Hepatitis B core antibody=</w:t>
      </w:r>
      <w:proofErr w:type="spellStart"/>
      <w:r w:rsidRPr="00720E4F">
        <w:t>HBcAb</w:t>
      </w:r>
      <w:proofErr w:type="spellEnd"/>
      <w:r w:rsidRPr="00720E4F">
        <w:rPr>
          <w:spacing w:val="40"/>
        </w:rPr>
        <w:t xml:space="preserve"> </w:t>
      </w:r>
      <w:r w:rsidRPr="00720E4F">
        <w:t>Advisory Committee on Immunization Practices=ACIP</w:t>
      </w:r>
      <w:r w:rsidR="00F86A7B">
        <w:t>.</w:t>
      </w:r>
    </w:p>
    <w:p w:rsidRPr="00066CB3" w:rsidR="001C45D3" w:rsidP="00AD2176" w:rsidRDefault="00AF6197" w14:paraId="3D421ECA" w14:textId="6A4114A3">
      <w:pPr>
        <w:pStyle w:val="AZListParagraph"/>
        <w:numPr>
          <w:ilvl w:val="0"/>
          <w:numId w:val="0"/>
        </w:numPr>
        <w:ind w:left="360"/>
      </w:pPr>
      <w:r w:rsidRPr="00AD2176">
        <w:t xml:space="preserve">Source: </w:t>
      </w:r>
      <w:hyperlink w:history="1" r:id="rId10">
        <w:r w:rsidRPr="00AD2176" w:rsidR="00AD2176">
          <w:rPr>
            <w:rStyle w:val="Hyperlink"/>
            <w:color w:val="auto"/>
          </w:rPr>
          <w:t>CDC</w:t>
        </w:r>
      </w:hyperlink>
      <w:r w:rsidR="00AD2176">
        <w:t xml:space="preserve">; </w:t>
      </w:r>
      <w:r w:rsidRPr="00066CB3">
        <w:t>Division of Viral Hepatitis, National Center for HIV, Viral Hepatitis, STD and TN Prevention</w:t>
      </w:r>
      <w:r w:rsidR="00F86A7B">
        <w:t>.</w:t>
      </w:r>
    </w:p>
    <w:bookmarkEnd w:id="1"/>
    <w:p w:rsidRPr="001C45D3" w:rsidR="001C45D3" w:rsidP="00066CB3" w:rsidRDefault="00C0500D" w14:paraId="7D0B2113" w14:textId="77777777">
      <w:pPr>
        <w:pStyle w:val="AZHeading2"/>
      </w:pPr>
      <w:r w:rsidRPr="001C45D3">
        <w:t>ALIASES:</w:t>
      </w:r>
      <w:r w:rsidRPr="001C45D3" w:rsidR="00AA76BD">
        <w:t xml:space="preserve">  </w:t>
      </w:r>
    </w:p>
    <w:p w:rsidRPr="001C45D3" w:rsidR="00AA76BD" w:rsidP="00066CB3" w:rsidRDefault="007D50DB" w14:paraId="75ACC102" w14:textId="5B378C38">
      <w:pPr>
        <w:pStyle w:val="AZNormalBody"/>
        <w:rPr>
          <w:color w:val="0066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F6778">
        <w:t>HBV, Hepatitis B</w:t>
      </w:r>
      <w:r w:rsidRPr="00AF6778" w:rsidR="0065141E">
        <w:t xml:space="preserve"> </w:t>
      </w:r>
      <w:r w:rsidRPr="00AF6778" w:rsidR="003A104A">
        <w:t>virus, H</w:t>
      </w:r>
      <w:r w:rsidRPr="00AF6778" w:rsidR="0012696B">
        <w:t>epatit</w:t>
      </w:r>
      <w:r w:rsidRPr="00AF6778">
        <w:t>is B</w:t>
      </w:r>
      <w:r w:rsidRPr="00AF6778" w:rsidR="003A104A">
        <w:t xml:space="preserve"> </w:t>
      </w:r>
      <w:r w:rsidRPr="00AF6778" w:rsidR="00FC0BBB">
        <w:t xml:space="preserve">surface </w:t>
      </w:r>
      <w:r w:rsidRPr="00AF6778" w:rsidR="003A104A">
        <w:t>antigen</w:t>
      </w:r>
      <w:r w:rsidRPr="00AF6778" w:rsidR="0065141E">
        <w:t xml:space="preserve">, </w:t>
      </w:r>
      <w:r w:rsidRPr="00AF6778">
        <w:t>HBs</w:t>
      </w:r>
      <w:r>
        <w:t>Ag</w:t>
      </w:r>
      <w:r w:rsidR="0012696B">
        <w:t>.</w:t>
      </w:r>
    </w:p>
    <w:sectPr w:rsidRPr="001C45D3" w:rsidR="00AA76BD" w:rsidSect="00A613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6FE2" w:rsidRDefault="00666FE2" w14:paraId="370996C8" w14:textId="77777777">
      <w:r>
        <w:separator/>
      </w:r>
    </w:p>
  </w:endnote>
  <w:endnote w:type="continuationSeparator" w:id="0">
    <w:p w:rsidR="00666FE2" w:rsidRDefault="00666FE2" w14:paraId="07477F0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137D" w:rsidRDefault="00A6137D" w14:paraId="75678BF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66CB3" w:rsidR="006B459B" w:rsidP="00A6137D" w:rsidRDefault="009C569F" w14:paraId="198573C1" w14:textId="6744675D">
    <w:pPr>
      <w:pStyle w:val="Footer"/>
      <w:rPr>
        <w:rFonts w:ascii="Arial" w:hAnsi="Arial" w:cs="Arial"/>
      </w:rPr>
    </w:pPr>
    <w:r w:rsidRPr="00066CB3">
      <w:rPr>
        <w:rFonts w:ascii="Arial" w:hAnsi="Arial" w:cs="Arial"/>
      </w:rPr>
      <w:t>AZ.023</w:t>
    </w:r>
    <w:r w:rsidRPr="00066CB3">
      <w:rPr>
        <w:rFonts w:ascii="Arial" w:hAnsi="Arial" w:cs="Arial"/>
      </w:rPr>
      <w:tab/>
    </w:r>
    <w:r w:rsidRPr="00066CB3">
      <w:rPr>
        <w:rFonts w:ascii="Arial" w:hAnsi="Arial" w:cs="Arial"/>
      </w:rPr>
      <w:t xml:space="preserve">Page </w:t>
    </w:r>
    <w:r w:rsidRPr="00066CB3">
      <w:rPr>
        <w:rFonts w:ascii="Arial" w:hAnsi="Arial" w:cs="Arial"/>
        <w:b/>
        <w:bCs/>
      </w:rPr>
      <w:fldChar w:fldCharType="begin"/>
    </w:r>
    <w:r w:rsidRPr="00066CB3">
      <w:rPr>
        <w:rFonts w:ascii="Arial" w:hAnsi="Arial" w:cs="Arial"/>
        <w:b/>
        <w:bCs/>
      </w:rPr>
      <w:instrText xml:space="preserve"> PAGE  \* Arabic  \* MERGEFORMAT </w:instrText>
    </w:r>
    <w:r w:rsidRPr="00066CB3">
      <w:rPr>
        <w:rFonts w:ascii="Arial" w:hAnsi="Arial" w:cs="Arial"/>
        <w:b/>
        <w:bCs/>
      </w:rPr>
      <w:fldChar w:fldCharType="separate"/>
    </w:r>
    <w:r w:rsidRPr="00066CB3">
      <w:rPr>
        <w:rFonts w:ascii="Arial" w:hAnsi="Arial" w:cs="Arial"/>
        <w:b/>
        <w:bCs/>
      </w:rPr>
      <w:t>1</w:t>
    </w:r>
    <w:r w:rsidRPr="00066CB3">
      <w:rPr>
        <w:rFonts w:ascii="Arial" w:hAnsi="Arial" w:cs="Arial"/>
        <w:b/>
        <w:bCs/>
      </w:rPr>
      <w:fldChar w:fldCharType="end"/>
    </w:r>
    <w:r w:rsidRPr="00066CB3">
      <w:rPr>
        <w:rFonts w:ascii="Arial" w:hAnsi="Arial" w:cs="Arial"/>
      </w:rPr>
      <w:t xml:space="preserve"> of </w:t>
    </w:r>
    <w:r w:rsidRPr="00066CB3">
      <w:rPr>
        <w:rFonts w:ascii="Arial" w:hAnsi="Arial" w:cs="Arial"/>
        <w:b/>
        <w:bCs/>
      </w:rPr>
      <w:fldChar w:fldCharType="begin"/>
    </w:r>
    <w:r w:rsidRPr="00066CB3">
      <w:rPr>
        <w:rFonts w:ascii="Arial" w:hAnsi="Arial" w:cs="Arial"/>
        <w:b/>
        <w:bCs/>
      </w:rPr>
      <w:instrText xml:space="preserve"> NUMPAGES  \* Arabic  \* MERGEFORMAT </w:instrText>
    </w:r>
    <w:r w:rsidRPr="00066CB3">
      <w:rPr>
        <w:rFonts w:ascii="Arial" w:hAnsi="Arial" w:cs="Arial"/>
        <w:b/>
        <w:bCs/>
      </w:rPr>
      <w:fldChar w:fldCharType="separate"/>
    </w:r>
    <w:r w:rsidRPr="00066CB3">
      <w:rPr>
        <w:rFonts w:ascii="Arial" w:hAnsi="Arial" w:cs="Arial"/>
        <w:b/>
        <w:bCs/>
      </w:rPr>
      <w:t>2</w:t>
    </w:r>
    <w:r w:rsidRPr="00066CB3">
      <w:rPr>
        <w:rFonts w:ascii="Arial" w:hAnsi="Arial" w:cs="Arial"/>
        <w:b/>
        <w:bCs/>
      </w:rPr>
      <w:fldChar w:fldCharType="end"/>
    </w:r>
    <w:r w:rsidRPr="00066CB3">
      <w:rPr>
        <w:rFonts w:ascii="Arial" w:hAnsi="Arial" w:cs="Arial"/>
      </w:rPr>
      <w:tab/>
    </w:r>
    <w:r w:rsidRPr="00066CB3">
      <w:rPr>
        <w:rFonts w:ascii="Arial" w:hAnsi="Arial" w:cs="Arial"/>
      </w:rPr>
      <w:t>Rev 0</w:t>
    </w:r>
    <w:r w:rsidRPr="00066CB3" w:rsidR="00E95290">
      <w:rPr>
        <w:rFonts w:ascii="Arial" w:hAnsi="Arial" w:cs="Arial"/>
      </w:rPr>
      <w:t>1/29/2025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137D" w:rsidRDefault="00A6137D" w14:paraId="17E49EA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6FE2" w:rsidRDefault="00666FE2" w14:paraId="7CC45F7C" w14:textId="77777777">
      <w:r>
        <w:separator/>
      </w:r>
    </w:p>
  </w:footnote>
  <w:footnote w:type="continuationSeparator" w:id="0">
    <w:p w:rsidR="00666FE2" w:rsidRDefault="00666FE2" w14:paraId="768C262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137D" w:rsidRDefault="00A6137D" w14:paraId="4C3AD01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137D" w:rsidRDefault="00A6137D" w14:paraId="3BF1CE9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137D" w:rsidRDefault="00A6137D" w14:paraId="5458F80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7859"/>
    <w:multiLevelType w:val="hybridMultilevel"/>
    <w:tmpl w:val="956E38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7F6E7C"/>
    <w:multiLevelType w:val="hybridMultilevel"/>
    <w:tmpl w:val="D42AD64A"/>
    <w:lvl w:ilvl="0" w:tplc="5FA81F7C">
      <w:start w:val="1"/>
      <w:numFmt w:val="bullet"/>
      <w:pStyle w:val="AZListParagraph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1219F3"/>
    <w:multiLevelType w:val="hybridMultilevel"/>
    <w:tmpl w:val="0718A412"/>
    <w:lvl w:ilvl="0" w:tplc="CEAAF1E2">
      <w:start w:val="1"/>
      <w:numFmt w:val="decimal"/>
      <w:lvlText w:val="%1."/>
      <w:lvlJc w:val="left"/>
      <w:pPr>
        <w:ind w:left="470" w:hanging="360"/>
      </w:pPr>
      <w:rPr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 w15:restartNumberingAfterBreak="0">
    <w:nsid w:val="1AA14EC4"/>
    <w:multiLevelType w:val="hybridMultilevel"/>
    <w:tmpl w:val="E4DC629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E6B24CA"/>
    <w:multiLevelType w:val="hybridMultilevel"/>
    <w:tmpl w:val="2B1AC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A6254"/>
    <w:multiLevelType w:val="hybridMultilevel"/>
    <w:tmpl w:val="0992A8DC"/>
    <w:lvl w:ilvl="0" w:tplc="298C3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05945"/>
    <w:multiLevelType w:val="hybridMultilevel"/>
    <w:tmpl w:val="200271BE"/>
    <w:lvl w:ilvl="0" w:tplc="1138179A">
      <w:start w:val="1"/>
      <w:numFmt w:val="decimal"/>
      <w:lvlText w:val="%1."/>
      <w:lvlJc w:val="left"/>
      <w:pPr>
        <w:ind w:left="504" w:hanging="360"/>
      </w:pPr>
      <w:rPr>
        <w:rFonts w:ascii="Arial" w:hAnsi="Arial" w:eastAsia="Calibri" w:cs="Arial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 w15:restartNumberingAfterBreak="0">
    <w:nsid w:val="2C446DA9"/>
    <w:multiLevelType w:val="hybridMultilevel"/>
    <w:tmpl w:val="96B4DD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65B758F"/>
    <w:multiLevelType w:val="hybridMultilevel"/>
    <w:tmpl w:val="9D30DD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403E4441"/>
    <w:multiLevelType w:val="hybridMultilevel"/>
    <w:tmpl w:val="5664D200"/>
    <w:lvl w:ilvl="0" w:tplc="946A4346">
      <w:start w:val="3"/>
      <w:numFmt w:val="decimal"/>
      <w:lvlText w:val="%1."/>
      <w:lvlJc w:val="left"/>
      <w:pPr>
        <w:ind w:left="504" w:hanging="360"/>
      </w:pPr>
      <w:rPr>
        <w:rFonts w:hint="default" w:ascii="Arial" w:hAnsi="Arial" w:eastAsia="Calibr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D6E7E"/>
    <w:multiLevelType w:val="hybridMultilevel"/>
    <w:tmpl w:val="C8E8E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A6CE1"/>
    <w:multiLevelType w:val="hybridMultilevel"/>
    <w:tmpl w:val="A6C44A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4145BCC"/>
    <w:multiLevelType w:val="hybridMultilevel"/>
    <w:tmpl w:val="F5AECE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8904BA4"/>
    <w:multiLevelType w:val="hybridMultilevel"/>
    <w:tmpl w:val="9A4858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FA5146C"/>
    <w:multiLevelType w:val="hybridMultilevel"/>
    <w:tmpl w:val="3C6692F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14E90E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130CA1"/>
    <w:multiLevelType w:val="hybridMultilevel"/>
    <w:tmpl w:val="80887D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325344D"/>
    <w:multiLevelType w:val="hybridMultilevel"/>
    <w:tmpl w:val="0652D5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B23B83"/>
    <w:multiLevelType w:val="hybridMultilevel"/>
    <w:tmpl w:val="9718F3B8"/>
    <w:lvl w:ilvl="0" w:tplc="2D14D510">
      <w:start w:val="2"/>
      <w:numFmt w:val="decimal"/>
      <w:lvlText w:val="%1."/>
      <w:lvlJc w:val="left"/>
      <w:pPr>
        <w:ind w:left="504" w:hanging="360"/>
      </w:pPr>
      <w:rPr>
        <w:rFonts w:hint="default" w:ascii="Arial" w:hAnsi="Arial" w:eastAsia="Calibr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B6E0C"/>
    <w:multiLevelType w:val="hybridMultilevel"/>
    <w:tmpl w:val="664AA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462EE"/>
    <w:multiLevelType w:val="hybridMultilevel"/>
    <w:tmpl w:val="252C8936"/>
    <w:lvl w:ilvl="0" w:tplc="63C60C80">
      <w:start w:val="1"/>
      <w:numFmt w:val="decimal"/>
      <w:lvlText w:val="%1."/>
      <w:lvlJc w:val="left"/>
      <w:pPr>
        <w:ind w:left="882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sz w:val="14"/>
        <w:szCs w:val="14"/>
        <w:lang w:val="en-US" w:eastAsia="en-US" w:bidi="ar-SA"/>
      </w:rPr>
    </w:lvl>
    <w:lvl w:ilvl="1" w:tplc="E73A5952">
      <w:numFmt w:val="bullet"/>
      <w:lvlText w:val="•"/>
      <w:lvlJc w:val="left"/>
      <w:pPr>
        <w:ind w:left="1988" w:hanging="360"/>
      </w:pPr>
      <w:rPr>
        <w:rFonts w:hint="default"/>
        <w:lang w:val="en-US" w:eastAsia="en-US" w:bidi="ar-SA"/>
      </w:rPr>
    </w:lvl>
    <w:lvl w:ilvl="2" w:tplc="34EA7E5E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616024AC">
      <w:numFmt w:val="bullet"/>
      <w:lvlText w:val="•"/>
      <w:lvlJc w:val="left"/>
      <w:pPr>
        <w:ind w:left="4204" w:hanging="360"/>
      </w:pPr>
      <w:rPr>
        <w:rFonts w:hint="default"/>
        <w:lang w:val="en-US" w:eastAsia="en-US" w:bidi="ar-SA"/>
      </w:rPr>
    </w:lvl>
    <w:lvl w:ilvl="4" w:tplc="20DA8E6C">
      <w:numFmt w:val="bullet"/>
      <w:lvlText w:val="•"/>
      <w:lvlJc w:val="left"/>
      <w:pPr>
        <w:ind w:left="5312" w:hanging="360"/>
      </w:pPr>
      <w:rPr>
        <w:rFonts w:hint="default"/>
        <w:lang w:val="en-US" w:eastAsia="en-US" w:bidi="ar-SA"/>
      </w:rPr>
    </w:lvl>
    <w:lvl w:ilvl="5" w:tplc="3858199C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6" w:tplc="F8F4661A">
      <w:numFmt w:val="bullet"/>
      <w:lvlText w:val="•"/>
      <w:lvlJc w:val="left"/>
      <w:pPr>
        <w:ind w:left="7528" w:hanging="360"/>
      </w:pPr>
      <w:rPr>
        <w:rFonts w:hint="default"/>
        <w:lang w:val="en-US" w:eastAsia="en-US" w:bidi="ar-SA"/>
      </w:rPr>
    </w:lvl>
    <w:lvl w:ilvl="7" w:tplc="7334ED52">
      <w:numFmt w:val="bullet"/>
      <w:lvlText w:val="•"/>
      <w:lvlJc w:val="left"/>
      <w:pPr>
        <w:ind w:left="8636" w:hanging="360"/>
      </w:pPr>
      <w:rPr>
        <w:rFonts w:hint="default"/>
        <w:lang w:val="en-US" w:eastAsia="en-US" w:bidi="ar-SA"/>
      </w:rPr>
    </w:lvl>
    <w:lvl w:ilvl="8" w:tplc="EC727E9E">
      <w:numFmt w:val="bullet"/>
      <w:lvlText w:val="•"/>
      <w:lvlJc w:val="left"/>
      <w:pPr>
        <w:ind w:left="9744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77AB31DC"/>
    <w:multiLevelType w:val="hybridMultilevel"/>
    <w:tmpl w:val="E5EA02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A3A5499"/>
    <w:multiLevelType w:val="hybridMultilevel"/>
    <w:tmpl w:val="8856C89A"/>
    <w:lvl w:ilvl="0" w:tplc="E982C22E">
      <w:start w:val="1"/>
      <w:numFmt w:val="decimal"/>
      <w:lvlText w:val="%1."/>
      <w:lvlJc w:val="left"/>
      <w:pPr>
        <w:ind w:left="504" w:hanging="360"/>
      </w:pPr>
      <w:rPr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2" w15:restartNumberingAfterBreak="0">
    <w:nsid w:val="7B0F3184"/>
    <w:multiLevelType w:val="hybridMultilevel"/>
    <w:tmpl w:val="4BEC06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05955565">
    <w:abstractNumId w:val="16"/>
  </w:num>
  <w:num w:numId="2" w16cid:durableId="1476603220">
    <w:abstractNumId w:val="14"/>
  </w:num>
  <w:num w:numId="3" w16cid:durableId="470174378">
    <w:abstractNumId w:val="8"/>
  </w:num>
  <w:num w:numId="4" w16cid:durableId="531528648">
    <w:abstractNumId w:val="18"/>
  </w:num>
  <w:num w:numId="5" w16cid:durableId="1795173547">
    <w:abstractNumId w:val="10"/>
  </w:num>
  <w:num w:numId="6" w16cid:durableId="1211452726">
    <w:abstractNumId w:val="19"/>
  </w:num>
  <w:num w:numId="7" w16cid:durableId="1489859150">
    <w:abstractNumId w:val="6"/>
  </w:num>
  <w:num w:numId="8" w16cid:durableId="1183007837">
    <w:abstractNumId w:val="12"/>
  </w:num>
  <w:num w:numId="9" w16cid:durableId="748115558">
    <w:abstractNumId w:val="11"/>
  </w:num>
  <w:num w:numId="10" w16cid:durableId="394865009">
    <w:abstractNumId w:val="0"/>
  </w:num>
  <w:num w:numId="11" w16cid:durableId="1184827094">
    <w:abstractNumId w:val="20"/>
  </w:num>
  <w:num w:numId="12" w16cid:durableId="1277251976">
    <w:abstractNumId w:val="1"/>
  </w:num>
  <w:num w:numId="13" w16cid:durableId="793408460">
    <w:abstractNumId w:val="3"/>
  </w:num>
  <w:num w:numId="14" w16cid:durableId="1037782208">
    <w:abstractNumId w:val="4"/>
  </w:num>
  <w:num w:numId="15" w16cid:durableId="368186625">
    <w:abstractNumId w:val="22"/>
  </w:num>
  <w:num w:numId="16" w16cid:durableId="1150243573">
    <w:abstractNumId w:val="13"/>
  </w:num>
  <w:num w:numId="17" w16cid:durableId="1876379661">
    <w:abstractNumId w:val="15"/>
  </w:num>
  <w:num w:numId="18" w16cid:durableId="2115395084">
    <w:abstractNumId w:val="7"/>
  </w:num>
  <w:num w:numId="19" w16cid:durableId="675234305">
    <w:abstractNumId w:val="17"/>
  </w:num>
  <w:num w:numId="20" w16cid:durableId="1114060526">
    <w:abstractNumId w:val="5"/>
  </w:num>
  <w:num w:numId="21" w16cid:durableId="874538375">
    <w:abstractNumId w:val="9"/>
  </w:num>
  <w:num w:numId="22" w16cid:durableId="478034230">
    <w:abstractNumId w:val="2"/>
  </w:num>
  <w:num w:numId="23" w16cid:durableId="859046077">
    <w:abstractNumId w:val="2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5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51"/>
    <w:rsid w:val="00016F5B"/>
    <w:rsid w:val="0003234C"/>
    <w:rsid w:val="00053AE0"/>
    <w:rsid w:val="000625BF"/>
    <w:rsid w:val="000657FC"/>
    <w:rsid w:val="00066CB3"/>
    <w:rsid w:val="000E4F03"/>
    <w:rsid w:val="00120127"/>
    <w:rsid w:val="0012074D"/>
    <w:rsid w:val="00126142"/>
    <w:rsid w:val="0012696B"/>
    <w:rsid w:val="00177C13"/>
    <w:rsid w:val="00180593"/>
    <w:rsid w:val="0019326E"/>
    <w:rsid w:val="0019499A"/>
    <w:rsid w:val="001A2FAA"/>
    <w:rsid w:val="001C45D3"/>
    <w:rsid w:val="00215E5E"/>
    <w:rsid w:val="00220EF1"/>
    <w:rsid w:val="002221A4"/>
    <w:rsid w:val="002526B0"/>
    <w:rsid w:val="00263A0E"/>
    <w:rsid w:val="002D6373"/>
    <w:rsid w:val="002F3310"/>
    <w:rsid w:val="00335840"/>
    <w:rsid w:val="003507A1"/>
    <w:rsid w:val="00354BC5"/>
    <w:rsid w:val="0039770D"/>
    <w:rsid w:val="003A104A"/>
    <w:rsid w:val="00413852"/>
    <w:rsid w:val="0041749A"/>
    <w:rsid w:val="00442A71"/>
    <w:rsid w:val="00443C6D"/>
    <w:rsid w:val="00461151"/>
    <w:rsid w:val="004714F7"/>
    <w:rsid w:val="004C46E5"/>
    <w:rsid w:val="004D590E"/>
    <w:rsid w:val="004D77FD"/>
    <w:rsid w:val="004F7C2D"/>
    <w:rsid w:val="0052623F"/>
    <w:rsid w:val="00531C66"/>
    <w:rsid w:val="005B3CF7"/>
    <w:rsid w:val="005E690A"/>
    <w:rsid w:val="005F6E29"/>
    <w:rsid w:val="005F7A5E"/>
    <w:rsid w:val="00606EC3"/>
    <w:rsid w:val="00643B5C"/>
    <w:rsid w:val="0065141E"/>
    <w:rsid w:val="00666FE2"/>
    <w:rsid w:val="00674674"/>
    <w:rsid w:val="0068269D"/>
    <w:rsid w:val="00692180"/>
    <w:rsid w:val="006A30BD"/>
    <w:rsid w:val="006A776D"/>
    <w:rsid w:val="006B459B"/>
    <w:rsid w:val="006D30CE"/>
    <w:rsid w:val="006E520C"/>
    <w:rsid w:val="00702AFF"/>
    <w:rsid w:val="00711218"/>
    <w:rsid w:val="00720E4F"/>
    <w:rsid w:val="00734E04"/>
    <w:rsid w:val="00740154"/>
    <w:rsid w:val="007471A0"/>
    <w:rsid w:val="00754BB8"/>
    <w:rsid w:val="00766467"/>
    <w:rsid w:val="00776F26"/>
    <w:rsid w:val="00786DE3"/>
    <w:rsid w:val="00786FF2"/>
    <w:rsid w:val="007974F4"/>
    <w:rsid w:val="007C2D70"/>
    <w:rsid w:val="007D50DB"/>
    <w:rsid w:val="007E60A9"/>
    <w:rsid w:val="007F2988"/>
    <w:rsid w:val="008004D0"/>
    <w:rsid w:val="0080745F"/>
    <w:rsid w:val="00812821"/>
    <w:rsid w:val="00815E94"/>
    <w:rsid w:val="0082470A"/>
    <w:rsid w:val="00855031"/>
    <w:rsid w:val="008853D0"/>
    <w:rsid w:val="00885521"/>
    <w:rsid w:val="008869A8"/>
    <w:rsid w:val="00895E96"/>
    <w:rsid w:val="00897FD1"/>
    <w:rsid w:val="008A09CA"/>
    <w:rsid w:val="008D58CE"/>
    <w:rsid w:val="008F3DFE"/>
    <w:rsid w:val="009018AE"/>
    <w:rsid w:val="00907C51"/>
    <w:rsid w:val="009517D5"/>
    <w:rsid w:val="009A5970"/>
    <w:rsid w:val="009C569F"/>
    <w:rsid w:val="009D1A63"/>
    <w:rsid w:val="009D3187"/>
    <w:rsid w:val="00A008B2"/>
    <w:rsid w:val="00A42760"/>
    <w:rsid w:val="00A53892"/>
    <w:rsid w:val="00A6137D"/>
    <w:rsid w:val="00A616A5"/>
    <w:rsid w:val="00A749E5"/>
    <w:rsid w:val="00AA76BD"/>
    <w:rsid w:val="00AD2176"/>
    <w:rsid w:val="00AD405B"/>
    <w:rsid w:val="00AD7849"/>
    <w:rsid w:val="00AF6197"/>
    <w:rsid w:val="00AF6778"/>
    <w:rsid w:val="00B044CF"/>
    <w:rsid w:val="00B0511F"/>
    <w:rsid w:val="00B15C46"/>
    <w:rsid w:val="00B42DDF"/>
    <w:rsid w:val="00B52086"/>
    <w:rsid w:val="00B711BD"/>
    <w:rsid w:val="00B8784B"/>
    <w:rsid w:val="00BF1C7E"/>
    <w:rsid w:val="00C0500D"/>
    <w:rsid w:val="00C16B83"/>
    <w:rsid w:val="00C50CE7"/>
    <w:rsid w:val="00C56D92"/>
    <w:rsid w:val="00C657A1"/>
    <w:rsid w:val="00C75B2B"/>
    <w:rsid w:val="00C80F45"/>
    <w:rsid w:val="00CB4CA7"/>
    <w:rsid w:val="00CE3AFC"/>
    <w:rsid w:val="00CF4F5B"/>
    <w:rsid w:val="00D0181C"/>
    <w:rsid w:val="00D37AF4"/>
    <w:rsid w:val="00D41549"/>
    <w:rsid w:val="00D61981"/>
    <w:rsid w:val="00D91F73"/>
    <w:rsid w:val="00D944AA"/>
    <w:rsid w:val="00D96BE0"/>
    <w:rsid w:val="00DD2E3C"/>
    <w:rsid w:val="00DF7C3A"/>
    <w:rsid w:val="00E04D30"/>
    <w:rsid w:val="00E51B75"/>
    <w:rsid w:val="00E839A4"/>
    <w:rsid w:val="00E86125"/>
    <w:rsid w:val="00E91303"/>
    <w:rsid w:val="00E95290"/>
    <w:rsid w:val="00EC6BB5"/>
    <w:rsid w:val="00ED6723"/>
    <w:rsid w:val="00EE7A6F"/>
    <w:rsid w:val="00F86A7B"/>
    <w:rsid w:val="00F8706A"/>
    <w:rsid w:val="00FB7427"/>
    <w:rsid w:val="00FC0BBB"/>
    <w:rsid w:val="00FD0BBB"/>
    <w:rsid w:val="00FF5B3A"/>
    <w:rsid w:val="01AA9D1C"/>
    <w:rsid w:val="068C5738"/>
    <w:rsid w:val="0B5CEF31"/>
    <w:rsid w:val="0BCEB51C"/>
    <w:rsid w:val="0EFC7FD1"/>
    <w:rsid w:val="434C6013"/>
    <w:rsid w:val="4E3AA775"/>
    <w:rsid w:val="55F43DD2"/>
    <w:rsid w:val="606306A7"/>
    <w:rsid w:val="61D9BEE3"/>
    <w:rsid w:val="63C6B19E"/>
    <w:rsid w:val="65F2432F"/>
    <w:rsid w:val="6ABD6C4A"/>
    <w:rsid w:val="7EABF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D1F980"/>
  <w15:chartTrackingRefBased/>
  <w15:docId w15:val="{CE537459-5A1A-43F9-8EDC-5B526445BB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471A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71A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1A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1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1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1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1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1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1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1A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471A0"/>
    <w:pPr>
      <w:tabs>
        <w:tab w:val="center" w:pos="4680"/>
        <w:tab w:val="right" w:pos="9360"/>
      </w:tabs>
      <w:spacing w:after="0" w:line="240" w:lineRule="auto"/>
    </w:pPr>
  </w:style>
  <w:style w:type="character" w:styleId="PageNumber">
    <w:name w:val="page number"/>
    <w:basedOn w:val="DefaultParagraphFont"/>
    <w:rsid w:val="00461151"/>
  </w:style>
  <w:style w:type="character" w:styleId="Hyperlink">
    <w:name w:val="Hyperlink"/>
    <w:rsid w:val="00461151"/>
    <w:rPr>
      <w:color w:val="0000FF"/>
      <w:u w:val="single"/>
    </w:rPr>
  </w:style>
  <w:style w:type="paragraph" w:styleId="BalloonText">
    <w:name w:val="Balloon Text"/>
    <w:basedOn w:val="Normal"/>
    <w:semiHidden/>
    <w:rsid w:val="006E520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52086"/>
    <w:pPr>
      <w:spacing w:before="100" w:beforeAutospacing="1" w:after="100" w:afterAutospacing="1"/>
    </w:pPr>
  </w:style>
  <w:style w:type="character" w:styleId="Hyperlink1" w:customStyle="1">
    <w:name w:val="Hyperlink1"/>
    <w:rsid w:val="00EC6BB5"/>
    <w:rPr>
      <w:rFonts w:hint="default" w:ascii="Arial" w:hAnsi="Arial" w:cs="Arial"/>
      <w:b w:val="0"/>
      <w:bCs w:val="0"/>
      <w:color w:val="000000"/>
      <w:sz w:val="20"/>
      <w:szCs w:val="20"/>
      <w:u w:val="single"/>
    </w:rPr>
  </w:style>
  <w:style w:type="paragraph" w:styleId="BodyTextIndent">
    <w:name w:val="Body Text Indent"/>
    <w:basedOn w:val="Normal"/>
    <w:rsid w:val="0012696B"/>
    <w:pPr>
      <w:ind w:left="360"/>
    </w:pPr>
  </w:style>
  <w:style w:type="paragraph" w:styleId="ListParagraph">
    <w:name w:val="List Paragraph"/>
    <w:basedOn w:val="Normal"/>
    <w:uiPriority w:val="34"/>
    <w:qFormat/>
    <w:rsid w:val="007471A0"/>
    <w:pPr>
      <w:ind w:left="720"/>
      <w:contextualSpacing/>
    </w:pPr>
  </w:style>
  <w:style w:type="paragraph" w:styleId="Revision">
    <w:name w:val="Revision"/>
    <w:hidden/>
    <w:uiPriority w:val="99"/>
    <w:semiHidden/>
    <w:rsid w:val="0082470A"/>
    <w:rPr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7471A0"/>
    <w:rPr>
      <w:rFonts w:asciiTheme="minorHAnsi" w:hAnsiTheme="minorHAnsi" w:eastAsiaTheme="minorHAnsi" w:cstheme="minorBidi"/>
      <w:kern w:val="2"/>
      <w:sz w:val="24"/>
      <w:szCs w:val="24"/>
      <w14:ligatures w14:val="standardContextual"/>
    </w:rPr>
  </w:style>
  <w:style w:type="character" w:styleId="UnresolvedMention">
    <w:name w:val="Unresolved Mention"/>
    <w:uiPriority w:val="99"/>
    <w:semiHidden/>
    <w:unhideWhenUsed/>
    <w:rsid w:val="00B0511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FC0BBB"/>
    <w:pPr>
      <w:spacing w:after="120"/>
    </w:pPr>
  </w:style>
  <w:style w:type="character" w:styleId="BodyTextChar" w:customStyle="1">
    <w:name w:val="Body Text Char"/>
    <w:link w:val="BodyText"/>
    <w:rsid w:val="00FC0BBB"/>
    <w:rPr>
      <w:sz w:val="24"/>
      <w:szCs w:val="24"/>
    </w:rPr>
  </w:style>
  <w:style w:type="paragraph" w:styleId="TableParagraph" w:customStyle="1">
    <w:name w:val="Table Paragraph"/>
    <w:basedOn w:val="Normal"/>
    <w:uiPriority w:val="1"/>
    <w:qFormat/>
    <w:rsid w:val="00FC0BBB"/>
    <w:pPr>
      <w:widowControl w:val="0"/>
      <w:autoSpaceDE w:val="0"/>
      <w:autoSpaceDN w:val="0"/>
      <w:spacing w:before="7"/>
      <w:ind w:left="110"/>
    </w:pPr>
    <w:rPr>
      <w:rFonts w:ascii="Calibri" w:hAnsi="Calibri" w:eastAsia="Calibri" w:cs="Calibri"/>
      <w:sz w:val="22"/>
      <w:szCs w:val="22"/>
    </w:rPr>
  </w:style>
  <w:style w:type="character" w:styleId="Heading1Char" w:customStyle="1">
    <w:name w:val="Heading 1 Char"/>
    <w:basedOn w:val="DefaultParagraphFont"/>
    <w:link w:val="Heading1"/>
    <w:uiPriority w:val="9"/>
    <w:rsid w:val="007471A0"/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Subtitle">
    <w:name w:val="Subtitle"/>
    <w:aliases w:val="Heading 2 AZ"/>
    <w:basedOn w:val="Normal"/>
    <w:next w:val="Normal"/>
    <w:link w:val="SubtitleChar"/>
    <w:uiPriority w:val="11"/>
    <w:qFormat/>
    <w:rsid w:val="00747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aliases w:val="Heading 2 AZ Char"/>
    <w:basedOn w:val="DefaultParagraphFont"/>
    <w:link w:val="Subtitle"/>
    <w:uiPriority w:val="11"/>
    <w:rsid w:val="007471A0"/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471A0"/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471A0"/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471A0"/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471A0"/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471A0"/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471A0"/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471A0"/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471A0"/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7471A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471A0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7471A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471A0"/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471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1A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471A0"/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7471A0"/>
    <w:rPr>
      <w:b/>
      <w:bCs/>
      <w:smallCaps/>
      <w:color w:val="0F4761" w:themeColor="accent1" w:themeShade="BF"/>
      <w:spacing w:val="5"/>
    </w:rPr>
  </w:style>
  <w:style w:type="character" w:styleId="HeaderChar" w:customStyle="1">
    <w:name w:val="Header Char"/>
    <w:basedOn w:val="DefaultParagraphFont"/>
    <w:link w:val="Header"/>
    <w:uiPriority w:val="99"/>
    <w:rsid w:val="007471A0"/>
    <w:rPr>
      <w:rFonts w:asciiTheme="minorHAnsi" w:hAnsiTheme="minorHAnsi" w:eastAsiaTheme="minorHAnsi" w:cstheme="minorBidi"/>
      <w:kern w:val="2"/>
      <w:sz w:val="24"/>
      <w:szCs w:val="24"/>
      <w14:ligatures w14:val="standardContextual"/>
    </w:rPr>
  </w:style>
  <w:style w:type="paragraph" w:styleId="AZHeading1" w:customStyle="1">
    <w:name w:val="AZ Heading 1"/>
    <w:basedOn w:val="Heading1"/>
    <w:link w:val="AZHeading1Char"/>
    <w:qFormat/>
    <w:rsid w:val="007471A0"/>
    <w:pPr>
      <w:spacing w:after="0"/>
      <w:jc w:val="center"/>
    </w:pPr>
    <w:rPr>
      <w:rFonts w:ascii="Arial" w:hAnsi="Arial" w:cs="Arial"/>
      <w:b/>
      <w:bCs/>
      <w:color w:val="0F406B"/>
      <w:sz w:val="32"/>
      <w:szCs w:val="32"/>
    </w:rPr>
  </w:style>
  <w:style w:type="character" w:styleId="AZHeading1Char" w:customStyle="1">
    <w:name w:val="AZ Heading 1 Char"/>
    <w:basedOn w:val="DefaultParagraphFont"/>
    <w:link w:val="AZHeading1"/>
    <w:rsid w:val="007471A0"/>
    <w:rPr>
      <w:rFonts w:ascii="Arial" w:hAnsi="Arial" w:cs="Arial" w:eastAsiaTheme="majorEastAsia"/>
      <w:b/>
      <w:bCs/>
      <w:color w:val="0F406B"/>
      <w:kern w:val="2"/>
      <w:sz w:val="32"/>
      <w:szCs w:val="32"/>
      <w14:ligatures w14:val="standardContextual"/>
    </w:rPr>
  </w:style>
  <w:style w:type="paragraph" w:styleId="AZHeading2" w:customStyle="1">
    <w:name w:val="AZ Heading 2"/>
    <w:basedOn w:val="Heading2"/>
    <w:link w:val="AZHeading2Char"/>
    <w:qFormat/>
    <w:rsid w:val="007471A0"/>
    <w:pPr>
      <w:spacing w:after="0"/>
    </w:pPr>
    <w:rPr>
      <w:rFonts w:ascii="Arial" w:hAnsi="Arial" w:cs="Arial"/>
      <w:color w:val="0F406B"/>
      <w:sz w:val="24"/>
    </w:rPr>
  </w:style>
  <w:style w:type="character" w:styleId="AZHeading2Char" w:customStyle="1">
    <w:name w:val="AZ Heading 2 Char"/>
    <w:basedOn w:val="Heading2Char"/>
    <w:link w:val="AZHeading2"/>
    <w:rsid w:val="007471A0"/>
    <w:rPr>
      <w:rFonts w:ascii="Arial" w:hAnsi="Arial" w:cs="Arial" w:eastAsiaTheme="majorEastAsia"/>
      <w:color w:val="0F406B"/>
      <w:kern w:val="2"/>
      <w:sz w:val="24"/>
      <w:szCs w:val="32"/>
      <w14:ligatures w14:val="standardContextual"/>
    </w:rPr>
  </w:style>
  <w:style w:type="paragraph" w:styleId="AZNormalTitle" w:customStyle="1">
    <w:name w:val="AZ Normal Title"/>
    <w:basedOn w:val="Normal"/>
    <w:qFormat/>
    <w:rsid w:val="007471A0"/>
    <w:pPr>
      <w:spacing w:after="0"/>
      <w:jc w:val="center"/>
    </w:pPr>
    <w:rPr>
      <w:rFonts w:ascii="Arial" w:hAnsi="Arial" w:cs="Arial"/>
    </w:rPr>
  </w:style>
  <w:style w:type="paragraph" w:styleId="AZNormalBody" w:customStyle="1">
    <w:name w:val="AZ Normal Body"/>
    <w:basedOn w:val="Normal"/>
    <w:qFormat/>
    <w:rsid w:val="007471A0"/>
    <w:rPr>
      <w:rFonts w:ascii="Arial" w:hAnsi="Arial" w:cs="Arial"/>
    </w:rPr>
  </w:style>
  <w:style w:type="paragraph" w:styleId="AZListParagraph" w:customStyle="1">
    <w:name w:val="AZ List Paragraph"/>
    <w:basedOn w:val="ListParagraph"/>
    <w:qFormat/>
    <w:rsid w:val="007471A0"/>
    <w:pPr>
      <w:numPr>
        <w:numId w:val="12"/>
      </w:numPr>
      <w:spacing w:after="0"/>
    </w:pPr>
    <w:rPr>
      <w:rFonts w:ascii="Arial" w:hAnsi="Arial" w:cs="Arial"/>
    </w:rPr>
  </w:style>
  <w:style w:type="character" w:styleId="FollowedHyperlink">
    <w:name w:val="FollowedHyperlink"/>
    <w:basedOn w:val="DefaultParagraphFont"/>
    <w:rsid w:val="00FF5B3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8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3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header" Target="header3.xml" Id="rId15" /><Relationship Type="http://schemas.openxmlformats.org/officeDocument/2006/relationships/hyperlink" Target="https://www.cdc.gov/hepatitis-b/?CDC_AAref_Val=https://cdc.gov/hepatitis/hbv/interpretationOfHepBSerologicResults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www.cdc.gov/hepatitis/hbv/index.htm" TargetMode="External" Id="rId9" /><Relationship Type="http://schemas.openxmlformats.org/officeDocument/2006/relationships/footer" Target="footer2.xml" Id="rId14" /><Relationship Type="http://schemas.openxmlformats.org/officeDocument/2006/relationships/hyperlink" Target="https://www.michigan.gov/mdhhs/-/media/Project/Websites/mdhhs/BOL/Forms/MDHHS-6084_ViroSeroTestReq.dotx?rev=7ee912fa2c074656b5e2bb5bd88a30f1&amp;hash=E96F68F11CADCA61F62E14A4868920FE" TargetMode="External" Id="Re82b309bb41843f1" /><Relationship Type="http://schemas.openxmlformats.org/officeDocument/2006/relationships/hyperlink" Target="https://www.michigan.gov/mdhhs/-/media/Project/Websites/mdhhs/BOL/Forms/DCH-0812_Serum.docx?rev=3f39416adcb24412b306550ce098e61f&amp;hash=285DAED87E4AC53556EE592D51389959" TargetMode="External" Id="R0be7b64671e348de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nifasm\OneDrive%20-%20State%20of%20Michigan%20DTMB\ADA%20Form%20Changes\AZ_Test_Template_2026_0415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AZ_Test_Template_2026_0415</ap:Template>
  <ap:Application>Microsoft Word for the web</ap:Application>
  <ap:DocSecurity>0</ap:DocSecurity>
  <ap:ScaleCrop>false</ap:ScaleCrop>
  <ap:Company>State Of Michigan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AZ.023 Hepatitis B Surface Antigen (HBsAg)</dc:title>
  <dc:subject/>
  <dc:creator>Administrator</dc:creator>
  <keywords/>
  <dc:description>AZ.023 Hepatitis B Surface Antigen (HBsAg)</dc:description>
  <lastModifiedBy>Ribeiro, Bruno (DHHS-Contractor)</lastModifiedBy>
  <revision>6</revision>
  <lastPrinted>2019-11-25T15:38:00.0000000Z</lastPrinted>
  <dcterms:created xsi:type="dcterms:W3CDTF">2026-05-07T18:03:00.0000000Z</dcterms:created>
  <dcterms:modified xsi:type="dcterms:W3CDTF">2026-05-18T16:10:01.6322511Z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2026-03-27T15:42:53Z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25849977-7450-42b4-89d4-d78e576e32aa</vt:lpwstr>
  </property>
  <property fmtid="{D5CDD505-2E9C-101B-9397-08002B2CF9AE}" pid="8" name="MSIP_Label_3a2fed65-62e7-46ea-af74-187e0c17143a_ContentBits">
    <vt:lpwstr>0</vt:lpwstr>
  </property>
  <property fmtid="{D5CDD505-2E9C-101B-9397-08002B2CF9AE}" pid="9" name="MSIP_Label_3a2fed65-62e7-46ea-af74-187e0c17143a_Tag">
    <vt:lpwstr>10, 0, 1, 1</vt:lpwstr>
  </property>
</Properties>
</file>