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DA26" w14:textId="77777777" w:rsidR="001200DC" w:rsidRDefault="004163FD" w:rsidP="003238C7">
      <w:pPr>
        <w:pStyle w:val="AZNormalTitle"/>
      </w:pPr>
      <w:r w:rsidRPr="004163FD">
        <w:t>Michigan Department of Health and Human Services</w:t>
      </w:r>
      <w:r w:rsidR="00F06031">
        <w:t xml:space="preserve"> </w:t>
      </w:r>
    </w:p>
    <w:p w14:paraId="7AE8E66C" w14:textId="7D618F5D" w:rsidR="004163FD" w:rsidRPr="004163FD" w:rsidRDefault="004163FD" w:rsidP="003238C7">
      <w:pPr>
        <w:pStyle w:val="AZNormalTitle"/>
      </w:pPr>
      <w:r w:rsidRPr="004163FD">
        <w:t>Bureau of Laboratories</w:t>
      </w:r>
    </w:p>
    <w:p w14:paraId="7077E0DE" w14:textId="48BE41C8" w:rsidR="00DD6B6F" w:rsidRPr="00184091" w:rsidRDefault="00DD6B6F" w:rsidP="003238C7">
      <w:pPr>
        <w:pStyle w:val="AZHeading1"/>
      </w:pPr>
      <w:bookmarkStart w:id="0" w:name="_Hlk220672860"/>
      <w:r w:rsidRPr="00BF11DC">
        <w:t>AZ.</w:t>
      </w:r>
      <w:r w:rsidR="001200DC">
        <w:t>053</w:t>
      </w:r>
      <w:r w:rsidRPr="00BF11DC">
        <w:t xml:space="preserve"> </w:t>
      </w:r>
      <w:bookmarkEnd w:id="0"/>
      <w:r w:rsidR="001200DC" w:rsidRPr="00184091">
        <w:rPr>
          <w:i/>
          <w:iCs/>
        </w:rPr>
        <w:t xml:space="preserve">Neisseria </w:t>
      </w:r>
      <w:r w:rsidR="001200DC" w:rsidRPr="00F31D3C">
        <w:rPr>
          <w:i/>
          <w:iCs/>
        </w:rPr>
        <w:t>gonorrhoeae</w:t>
      </w:r>
      <w:r w:rsidR="001200DC" w:rsidRPr="00184091">
        <w:t xml:space="preserve"> (Culture &amp; Sensitivity)</w:t>
      </w:r>
    </w:p>
    <w:p w14:paraId="319CCA4C" w14:textId="23AAB80F" w:rsidR="004163FD" w:rsidRPr="00184091" w:rsidRDefault="004163FD" w:rsidP="003238C7">
      <w:pPr>
        <w:pStyle w:val="AZNormalTitle"/>
      </w:pPr>
      <w:r w:rsidRPr="00184091">
        <w:t xml:space="preserve">Rev </w:t>
      </w:r>
      <w:r w:rsidR="001200DC" w:rsidRPr="00184091">
        <w:t>02</w:t>
      </w:r>
      <w:r w:rsidRPr="00184091">
        <w:t>/</w:t>
      </w:r>
      <w:r w:rsidR="001200DC" w:rsidRPr="00184091">
        <w:t>28</w:t>
      </w:r>
      <w:r w:rsidRPr="00184091">
        <w:t>/</w:t>
      </w:r>
      <w:r w:rsidR="001200DC" w:rsidRPr="00184091">
        <w:t>2025</w:t>
      </w:r>
    </w:p>
    <w:p w14:paraId="1094CB29" w14:textId="77777777" w:rsidR="001200DC" w:rsidRPr="003238C7" w:rsidRDefault="009565C8" w:rsidP="003238C7">
      <w:pPr>
        <w:pStyle w:val="AZHeading2"/>
      </w:pPr>
      <w:r w:rsidRPr="003238C7">
        <w:t>ANALYTES TESTED:</w:t>
      </w:r>
    </w:p>
    <w:p w14:paraId="127F0020" w14:textId="77777777" w:rsidR="001200DC" w:rsidRPr="00184091" w:rsidRDefault="001200DC" w:rsidP="003238C7">
      <w:pPr>
        <w:pStyle w:val="AZNormalBody"/>
      </w:pPr>
      <w:r w:rsidRPr="00184091">
        <w:t xml:space="preserve">Cervical, rectal, urethral, throat, or </w:t>
      </w:r>
      <w:r w:rsidRPr="003238C7">
        <w:t>conjunctival</w:t>
      </w:r>
      <w:r w:rsidRPr="00184091">
        <w:t xml:space="preserve"> specimens </w:t>
      </w:r>
      <w:proofErr w:type="gramStart"/>
      <w:r w:rsidRPr="00184091">
        <w:t>submitted</w:t>
      </w:r>
      <w:proofErr w:type="gramEnd"/>
      <w:r w:rsidRPr="00184091">
        <w:t xml:space="preserve"> on Thayer-Martin medium.</w:t>
      </w:r>
    </w:p>
    <w:p w14:paraId="40075D26" w14:textId="3742A349" w:rsidR="00F06031" w:rsidRPr="00184091" w:rsidRDefault="004163FD" w:rsidP="003238C7">
      <w:pPr>
        <w:pStyle w:val="AZHeading2"/>
      </w:pPr>
      <w:r w:rsidRPr="00184091">
        <w:t>USE OF TEST:</w:t>
      </w:r>
    </w:p>
    <w:p w14:paraId="76434560" w14:textId="0DC965FF" w:rsidR="001200DC" w:rsidRPr="00184091" w:rsidRDefault="001200DC" w:rsidP="003238C7">
      <w:pPr>
        <w:pStyle w:val="AZNormalBody"/>
      </w:pPr>
      <w:r w:rsidRPr="00184091">
        <w:t xml:space="preserve">For the diagnosis of sexually transmitted disease due to </w:t>
      </w:r>
      <w:r w:rsidRPr="00E647B3">
        <w:rPr>
          <w:i/>
          <w:iCs/>
        </w:rPr>
        <w:t>Neisseria gonorrhoeae</w:t>
      </w:r>
      <w:r w:rsidRPr="00184091">
        <w:t xml:space="preserve"> and determination of antibiotic susceptibility pattern.</w:t>
      </w:r>
    </w:p>
    <w:p w14:paraId="7B74F0D5" w14:textId="2E43B353" w:rsidR="004163FD" w:rsidRPr="00184091" w:rsidRDefault="004163FD" w:rsidP="003238C7">
      <w:pPr>
        <w:pStyle w:val="AZHeading2"/>
      </w:pPr>
      <w:r w:rsidRPr="00184091">
        <w:t>SPECIMEN COLLECTION AND SUBMISSION GUIDELINES:</w:t>
      </w:r>
    </w:p>
    <w:p w14:paraId="4E87B6F3" w14:textId="4CC3377E" w:rsidR="001200DC" w:rsidRPr="00184091" w:rsidRDefault="004163FD" w:rsidP="003238C7">
      <w:pPr>
        <w:pStyle w:val="AZListParagraph"/>
      </w:pPr>
      <w:r w:rsidRPr="00184091">
        <w:t xml:space="preserve">Test Request </w:t>
      </w:r>
      <w:r w:rsidRPr="00025CC6">
        <w:t>Form:</w:t>
      </w:r>
      <w:r w:rsidR="001200DC" w:rsidRPr="00025CC6">
        <w:t xml:space="preserve"> </w:t>
      </w:r>
      <w:hyperlink r:id="rId7" w:history="1">
        <w:r w:rsidR="001200DC" w:rsidRPr="00025CC6">
          <w:rPr>
            <w:rStyle w:val="Hyperlink"/>
            <w:color w:val="auto"/>
          </w:rPr>
          <w:t>DCH-0583</w:t>
        </w:r>
      </w:hyperlink>
    </w:p>
    <w:p w14:paraId="01EC0602" w14:textId="36F158F0" w:rsidR="00025CC6" w:rsidRPr="00184091" w:rsidRDefault="001200DC" w:rsidP="003238C7">
      <w:pPr>
        <w:pStyle w:val="AZListParagraph"/>
      </w:pPr>
      <w:hyperlink r:id="rId8" w:history="1">
        <w:r w:rsidRPr="00184091">
          <w:rPr>
            <w:rStyle w:val="Hyperlink"/>
            <w:color w:val="auto"/>
          </w:rPr>
          <w:t>Specimen Submission Guidelines</w:t>
        </w:r>
      </w:hyperlink>
      <w:r w:rsidR="00F31D3C">
        <w:t>.</w:t>
      </w:r>
    </w:p>
    <w:p w14:paraId="40B3AA08" w14:textId="0573E76A" w:rsidR="004163FD" w:rsidRPr="00184091" w:rsidRDefault="004163FD" w:rsidP="003238C7">
      <w:pPr>
        <w:pStyle w:val="AZListParagraph"/>
      </w:pPr>
      <w:r w:rsidRPr="00184091">
        <w:t>Transport Temperature:</w:t>
      </w:r>
      <w:r w:rsidR="001200DC" w:rsidRPr="00184091">
        <w:t xml:space="preserve"> Ambient Temperature (15ºC to 30ºC) – DO NOT REFRIGERATE</w:t>
      </w:r>
      <w:r w:rsidR="00025CC6">
        <w:t>.</w:t>
      </w:r>
    </w:p>
    <w:p w14:paraId="1C2E38D5" w14:textId="4A816FF9" w:rsidR="004163FD" w:rsidRPr="00184091" w:rsidRDefault="004163FD" w:rsidP="003238C7">
      <w:pPr>
        <w:pStyle w:val="AZListParagraph"/>
      </w:pPr>
      <w:r w:rsidRPr="00184091">
        <w:t>Patient Preparation:</w:t>
      </w:r>
      <w:r w:rsidR="001200DC" w:rsidRPr="00184091">
        <w:t xml:space="preserve"> None</w:t>
      </w:r>
      <w:r w:rsidR="00025CC6">
        <w:t>.</w:t>
      </w:r>
    </w:p>
    <w:p w14:paraId="4C503563" w14:textId="5DDDB57C" w:rsidR="004163FD" w:rsidRPr="00184091" w:rsidRDefault="004163FD" w:rsidP="003238C7">
      <w:pPr>
        <w:pStyle w:val="AZHeading2"/>
      </w:pPr>
      <w:r w:rsidRPr="00184091">
        <w:t>SPECIMEN TYPE:</w:t>
      </w:r>
    </w:p>
    <w:p w14:paraId="340A50B7" w14:textId="1F2D1900" w:rsidR="004163FD" w:rsidRPr="00184091" w:rsidRDefault="004163FD" w:rsidP="003238C7">
      <w:pPr>
        <w:pStyle w:val="AZListParagraph"/>
      </w:pPr>
      <w:r w:rsidRPr="00184091">
        <w:t>Specimen Required:</w:t>
      </w:r>
      <w:r w:rsidR="001200DC" w:rsidRPr="00184091">
        <w:t xml:space="preserve"> Genital, oropharyngeal, or anorectal specimens inoculated onto a selective, enriched medium (modified Thayer-Martin) and incubated at 35-37°C in 5% CO2 overnight before transport by courier to MDHHS.</w:t>
      </w:r>
    </w:p>
    <w:p w14:paraId="791FF8BA" w14:textId="35DCAC81" w:rsidR="004163FD" w:rsidRPr="00184091" w:rsidRDefault="004163FD" w:rsidP="003238C7">
      <w:pPr>
        <w:pStyle w:val="AZListParagraph"/>
      </w:pPr>
      <w:r w:rsidRPr="00184091">
        <w:t>Minimum Acceptable Volume:</w:t>
      </w:r>
      <w:r w:rsidR="001200DC" w:rsidRPr="00184091">
        <w:t xml:space="preserve"> Not applicable.</w:t>
      </w:r>
    </w:p>
    <w:p w14:paraId="4883EEAB" w14:textId="224E7067" w:rsidR="004163FD" w:rsidRPr="00184091" w:rsidRDefault="004163FD" w:rsidP="003238C7">
      <w:pPr>
        <w:pStyle w:val="AZListParagraph"/>
      </w:pPr>
      <w:r w:rsidRPr="00184091">
        <w:t>Container:</w:t>
      </w:r>
      <w:r w:rsidR="001200DC" w:rsidRPr="00184091">
        <w:t xml:space="preserve"> JEMBEC, </w:t>
      </w:r>
      <w:proofErr w:type="spellStart"/>
      <w:r w:rsidR="001200DC" w:rsidRPr="00184091">
        <w:t>InTray</w:t>
      </w:r>
      <w:proofErr w:type="spellEnd"/>
      <w:r w:rsidR="001200DC" w:rsidRPr="00184091">
        <w:t xml:space="preserve">, or other applicable </w:t>
      </w:r>
      <w:r w:rsidR="001200DC" w:rsidRPr="008123DC">
        <w:rPr>
          <w:i/>
          <w:iCs/>
        </w:rPr>
        <w:t>N. gonorrhoeae</w:t>
      </w:r>
      <w:r w:rsidR="001200DC" w:rsidRPr="00184091">
        <w:t xml:space="preserve"> transport system. </w:t>
      </w:r>
    </w:p>
    <w:p w14:paraId="7982BFB7" w14:textId="73878071" w:rsidR="004163FD" w:rsidRPr="00184091" w:rsidRDefault="004163FD" w:rsidP="003238C7">
      <w:pPr>
        <w:pStyle w:val="AZListParagraph"/>
      </w:pPr>
      <w:r w:rsidRPr="00184091">
        <w:t>Shipping Unit</w:t>
      </w:r>
      <w:r w:rsidR="00D600C1" w:rsidRPr="00184091">
        <w:t>(s):</w:t>
      </w:r>
      <w:r w:rsidR="001200DC" w:rsidRPr="00184091">
        <w:t xml:space="preserve"> Not Applicable</w:t>
      </w:r>
      <w:r w:rsidR="008123DC">
        <w:t>.</w:t>
      </w:r>
    </w:p>
    <w:p w14:paraId="257FB57D" w14:textId="36514CAB" w:rsidR="004163FD" w:rsidRPr="00184091" w:rsidRDefault="004163FD" w:rsidP="003238C7">
      <w:pPr>
        <w:pStyle w:val="AZHeading2"/>
      </w:pPr>
      <w:r w:rsidRPr="00184091">
        <w:t>SPECIMEN REJECTION CRITERIA:</w:t>
      </w:r>
    </w:p>
    <w:p w14:paraId="45288A52" w14:textId="77777777" w:rsidR="001200DC" w:rsidRPr="00184091" w:rsidRDefault="001200DC" w:rsidP="003238C7">
      <w:pPr>
        <w:pStyle w:val="AZNormalBody"/>
      </w:pPr>
      <w:r w:rsidRPr="00184091">
        <w:t>Critical Data Needed for Testing:</w:t>
      </w:r>
    </w:p>
    <w:p w14:paraId="3F4F35AB" w14:textId="0B8D5C55" w:rsidR="001200DC" w:rsidRPr="00184091" w:rsidRDefault="001200DC" w:rsidP="003238C7">
      <w:pPr>
        <w:pStyle w:val="AZListParagraph"/>
      </w:pPr>
      <w:r w:rsidRPr="00184091">
        <w:t xml:space="preserve">Patient </w:t>
      </w:r>
      <w:r w:rsidR="008123DC">
        <w:t>Name.</w:t>
      </w:r>
    </w:p>
    <w:p w14:paraId="5CCABEB5" w14:textId="63022053" w:rsidR="001200DC" w:rsidRPr="00184091" w:rsidRDefault="001200DC" w:rsidP="003238C7">
      <w:pPr>
        <w:pStyle w:val="AZListParagraph"/>
      </w:pPr>
      <w:r w:rsidRPr="00184091">
        <w:t xml:space="preserve">Patient </w:t>
      </w:r>
      <w:r w:rsidR="008123DC">
        <w:t>Date</w:t>
      </w:r>
      <w:r w:rsidRPr="00184091">
        <w:t xml:space="preserve"> of </w:t>
      </w:r>
      <w:r w:rsidR="008123DC">
        <w:t>B</w:t>
      </w:r>
      <w:r w:rsidRPr="00184091">
        <w:t>irth</w:t>
      </w:r>
      <w:r w:rsidR="008123DC">
        <w:t>.</w:t>
      </w:r>
    </w:p>
    <w:p w14:paraId="6902FA92" w14:textId="62293516" w:rsidR="001200DC" w:rsidRPr="00184091" w:rsidRDefault="001200DC" w:rsidP="003238C7">
      <w:pPr>
        <w:pStyle w:val="AZListParagraph"/>
      </w:pPr>
      <w:r w:rsidRPr="00184091">
        <w:t xml:space="preserve">Specimen </w:t>
      </w:r>
      <w:r w:rsidR="008123DC">
        <w:t>S</w:t>
      </w:r>
      <w:r w:rsidRPr="00184091">
        <w:t>ource</w:t>
      </w:r>
      <w:r w:rsidR="008123DC">
        <w:t>.</w:t>
      </w:r>
    </w:p>
    <w:p w14:paraId="3253A48E" w14:textId="0C1E5EE6" w:rsidR="001200DC" w:rsidRPr="00184091" w:rsidRDefault="001200DC" w:rsidP="003238C7">
      <w:pPr>
        <w:pStyle w:val="AZListParagraph"/>
      </w:pPr>
      <w:r w:rsidRPr="00184091">
        <w:t xml:space="preserve">Date </w:t>
      </w:r>
      <w:r w:rsidR="008123DC">
        <w:t>C</w:t>
      </w:r>
      <w:r w:rsidRPr="00184091">
        <w:t>ollected</w:t>
      </w:r>
      <w:r w:rsidR="008123DC">
        <w:t>.</w:t>
      </w:r>
    </w:p>
    <w:p w14:paraId="2839FBFC" w14:textId="042B462B" w:rsidR="001200DC" w:rsidRPr="00184091" w:rsidRDefault="001200DC" w:rsidP="003238C7">
      <w:pPr>
        <w:pStyle w:val="AZListParagraph"/>
      </w:pPr>
      <w:r w:rsidRPr="00184091">
        <w:t>Submitting Agency</w:t>
      </w:r>
      <w:r w:rsidR="008123DC">
        <w:t>.</w:t>
      </w:r>
    </w:p>
    <w:p w14:paraId="5384C411" w14:textId="442CB645" w:rsidR="001200DC" w:rsidRPr="00184091" w:rsidRDefault="001200DC" w:rsidP="003238C7">
      <w:pPr>
        <w:pStyle w:val="AZNormalBody"/>
      </w:pPr>
      <w:r w:rsidRPr="00184091">
        <w:t>Incomplete test requisition information may delay reporting up to seven days.</w:t>
      </w:r>
    </w:p>
    <w:p w14:paraId="641D9E90" w14:textId="67FD91EA" w:rsidR="001200DC" w:rsidRPr="00184091" w:rsidRDefault="001200DC" w:rsidP="003238C7">
      <w:pPr>
        <w:pStyle w:val="AZNormalBody"/>
      </w:pPr>
      <w:r w:rsidRPr="00184091">
        <w:t>Specimen lacking two unique patient identifiers may not be tested (i.e., patient name, date of birth, patient submitter number).</w:t>
      </w:r>
    </w:p>
    <w:p w14:paraId="5F58DE0A" w14:textId="77777777" w:rsidR="001200DC" w:rsidRPr="00184091" w:rsidRDefault="001200DC" w:rsidP="003238C7">
      <w:pPr>
        <w:pStyle w:val="AZNormalBody"/>
      </w:pPr>
      <w:r w:rsidRPr="00184091">
        <w:lastRenderedPageBreak/>
        <w:t>Specimens will be rejected if they:</w:t>
      </w:r>
    </w:p>
    <w:p w14:paraId="6F4B1CC4" w14:textId="77777777" w:rsidR="001200DC" w:rsidRPr="00184091" w:rsidRDefault="001200DC" w:rsidP="003238C7">
      <w:pPr>
        <w:pStyle w:val="AZListParagraph"/>
      </w:pPr>
      <w:r w:rsidRPr="00184091">
        <w:t xml:space="preserve">Are received unlabeled, with an incomplete test request form, or discrepant identification information provided on specimen and test requisition.  </w:t>
      </w:r>
    </w:p>
    <w:p w14:paraId="2F9B8410" w14:textId="77777777" w:rsidR="001200DC" w:rsidRPr="00184091" w:rsidRDefault="001200DC" w:rsidP="003238C7">
      <w:pPr>
        <w:pStyle w:val="AZListParagraph"/>
      </w:pPr>
      <w:r w:rsidRPr="00184091">
        <w:t>Are submitted in an inappropriate manner not to IATA or NHTSA or commercial carrier rules and regulations.</w:t>
      </w:r>
    </w:p>
    <w:p w14:paraId="7C263333" w14:textId="77777777" w:rsidR="001200DC" w:rsidRPr="00184091" w:rsidRDefault="001200DC" w:rsidP="003238C7">
      <w:pPr>
        <w:pStyle w:val="AZListParagraph"/>
      </w:pPr>
      <w:r w:rsidRPr="00184091">
        <w:t>Are leaking.</w:t>
      </w:r>
    </w:p>
    <w:p w14:paraId="6087201D" w14:textId="77777777" w:rsidR="001200DC" w:rsidRPr="00184091" w:rsidRDefault="001200DC" w:rsidP="003238C7">
      <w:pPr>
        <w:pStyle w:val="AZListParagraph"/>
      </w:pPr>
      <w:r w:rsidRPr="00184091">
        <w:t>Are sent on expired transport media.</w:t>
      </w:r>
    </w:p>
    <w:p w14:paraId="0E73E023" w14:textId="0B2FA455" w:rsidR="00243845" w:rsidRPr="00184091" w:rsidRDefault="001200DC" w:rsidP="003238C7">
      <w:pPr>
        <w:pStyle w:val="AZListParagraph"/>
      </w:pPr>
      <w:r w:rsidRPr="00184091">
        <w:t>Specimens received outside of appropriate transport temperature may not be tested</w:t>
      </w:r>
      <w:r w:rsidR="008123DC">
        <w:t>.</w:t>
      </w:r>
    </w:p>
    <w:p w14:paraId="2B0B311B" w14:textId="04061B61" w:rsidR="004163FD" w:rsidRPr="00184091" w:rsidRDefault="004163FD" w:rsidP="003238C7">
      <w:pPr>
        <w:pStyle w:val="AZHeading2"/>
      </w:pPr>
      <w:r w:rsidRPr="00184091">
        <w:t>TEST PERFORMED:</w:t>
      </w:r>
    </w:p>
    <w:p w14:paraId="45A9E215" w14:textId="000D8F02" w:rsidR="00243845" w:rsidRPr="00184091" w:rsidRDefault="00243845" w:rsidP="003238C7">
      <w:pPr>
        <w:pStyle w:val="AZListParagraph"/>
      </w:pPr>
      <w:r w:rsidRPr="00184091">
        <w:t>Methodology:</w:t>
      </w:r>
      <w:r w:rsidR="001200DC" w:rsidRPr="00184091">
        <w:t xml:space="preserve"> Biochemical or MALDI-TOF identification. Antimicrobial susceptibility testing performed by ETEST.</w:t>
      </w:r>
    </w:p>
    <w:p w14:paraId="001E0E03" w14:textId="1931B1BA" w:rsidR="001200DC" w:rsidRPr="00184091" w:rsidRDefault="00243845" w:rsidP="003238C7">
      <w:pPr>
        <w:pStyle w:val="AZListParagraph"/>
      </w:pPr>
      <w:r w:rsidRPr="00184091">
        <w:t>Turn</w:t>
      </w:r>
      <w:r w:rsidR="008123DC">
        <w:t>a</w:t>
      </w:r>
      <w:r w:rsidRPr="00184091">
        <w:t>round Time:</w:t>
      </w:r>
      <w:r w:rsidR="001200DC" w:rsidRPr="00184091">
        <w:t xml:space="preserve"> </w:t>
      </w:r>
    </w:p>
    <w:p w14:paraId="19CD6E42" w14:textId="77777777" w:rsidR="001200DC" w:rsidRPr="00184091" w:rsidRDefault="001200DC" w:rsidP="003238C7">
      <w:pPr>
        <w:pStyle w:val="AZListParagraph"/>
        <w:numPr>
          <w:ilvl w:val="1"/>
          <w:numId w:val="1"/>
        </w:numPr>
      </w:pPr>
      <w:r w:rsidRPr="00184091">
        <w:t xml:space="preserve">Negative – two business days. </w:t>
      </w:r>
    </w:p>
    <w:p w14:paraId="0D847FD7" w14:textId="227BF3FB" w:rsidR="001200DC" w:rsidRPr="00184091" w:rsidRDefault="001200DC" w:rsidP="003238C7">
      <w:pPr>
        <w:pStyle w:val="AZListParagraph"/>
        <w:numPr>
          <w:ilvl w:val="1"/>
          <w:numId w:val="1"/>
        </w:numPr>
      </w:pPr>
      <w:r w:rsidRPr="00184091">
        <w:t>Positive - four business days</w:t>
      </w:r>
      <w:r w:rsidR="008123DC">
        <w:t>.</w:t>
      </w:r>
    </w:p>
    <w:p w14:paraId="3AD561DC" w14:textId="084B9BA2" w:rsidR="001200DC" w:rsidRPr="00184091" w:rsidRDefault="001200DC" w:rsidP="003238C7">
      <w:pPr>
        <w:pStyle w:val="AZListParagraph"/>
      </w:pPr>
      <w:r w:rsidRPr="00184091">
        <w:t>When Performed: Monday through Friday</w:t>
      </w:r>
      <w:r w:rsidR="008123DC">
        <w:t>.</w:t>
      </w:r>
    </w:p>
    <w:p w14:paraId="77933A5E" w14:textId="7A0F5FA6" w:rsidR="00F06031" w:rsidRDefault="004163FD" w:rsidP="003238C7">
      <w:pPr>
        <w:pStyle w:val="AZHeading2"/>
      </w:pPr>
      <w:r w:rsidRPr="00184091">
        <w:t>RESULT INTERPRETATION:</w:t>
      </w:r>
    </w:p>
    <w:p w14:paraId="09C43261" w14:textId="2ECCF800" w:rsidR="008123DC" w:rsidRPr="008123DC" w:rsidRDefault="008123DC" w:rsidP="003238C7">
      <w:pPr>
        <w:pStyle w:val="AZNormalBody"/>
      </w:pPr>
      <w:r w:rsidRPr="00184091">
        <w:t>Reference Range: Not Applicable</w:t>
      </w:r>
      <w:r>
        <w:t>.</w:t>
      </w:r>
    </w:p>
    <w:p w14:paraId="6AFC4739" w14:textId="77777777" w:rsidR="001200DC" w:rsidRPr="00184091" w:rsidRDefault="001200DC" w:rsidP="003238C7">
      <w:pPr>
        <w:pStyle w:val="AZNormalBody"/>
      </w:pPr>
      <w:r w:rsidRPr="00184091">
        <w:t xml:space="preserve">Culture positive for </w:t>
      </w:r>
      <w:r w:rsidRPr="008123DC">
        <w:rPr>
          <w:i/>
          <w:iCs/>
        </w:rPr>
        <w:t>N. gonorrhoeae</w:t>
      </w:r>
      <w:r w:rsidRPr="00184091">
        <w:t xml:space="preserve"> is indicative of a reportable sexually transmitted disease.  The Microbiology Section will perform antimicrobial susceptibility testing on all isolates of </w:t>
      </w:r>
      <w:r w:rsidRPr="008123DC">
        <w:rPr>
          <w:i/>
          <w:iCs/>
        </w:rPr>
        <w:t>N. gonorrhoeae</w:t>
      </w:r>
      <w:r w:rsidRPr="00184091">
        <w:t xml:space="preserve"> from specimens submitted to MDHHS.</w:t>
      </w:r>
    </w:p>
    <w:p w14:paraId="7711F999" w14:textId="77777777" w:rsidR="003238C7" w:rsidRDefault="004163FD" w:rsidP="003238C7">
      <w:pPr>
        <w:pStyle w:val="AZHeading2"/>
      </w:pPr>
      <w:r w:rsidRPr="00184091">
        <w:rPr>
          <w:rStyle w:val="AZH2Char"/>
          <w:sz w:val="24"/>
          <w:szCs w:val="24"/>
        </w:rPr>
        <w:t>FEES:</w:t>
      </w:r>
    </w:p>
    <w:p w14:paraId="5C9ABF77" w14:textId="6013EA57" w:rsidR="00F06031" w:rsidRPr="00184091" w:rsidRDefault="001200DC" w:rsidP="003238C7">
      <w:pPr>
        <w:pStyle w:val="AZNormalBody"/>
      </w:pPr>
      <w:r w:rsidRPr="00184091">
        <w:t>Not Applicable</w:t>
      </w:r>
      <w:r w:rsidR="008123DC">
        <w:t>.</w:t>
      </w:r>
    </w:p>
    <w:p w14:paraId="1969235F" w14:textId="20B81E1B" w:rsidR="004163FD" w:rsidRPr="00184091" w:rsidRDefault="004163FD" w:rsidP="003238C7">
      <w:pPr>
        <w:pStyle w:val="AZHeading2"/>
      </w:pPr>
      <w:r w:rsidRPr="00184091">
        <w:t>NOTES:</w:t>
      </w:r>
    </w:p>
    <w:p w14:paraId="317D2FA1" w14:textId="0852DD03" w:rsidR="001200DC" w:rsidRPr="00184091" w:rsidRDefault="001200DC" w:rsidP="003238C7">
      <w:pPr>
        <w:pStyle w:val="AZListParagraph"/>
      </w:pPr>
      <w:r w:rsidRPr="00184091">
        <w:t>Please contact the Microbiology Section with questions regarding the interpretation of susceptibility tests. (517) 335-9641</w:t>
      </w:r>
      <w:r w:rsidR="008123DC">
        <w:t>.</w:t>
      </w:r>
    </w:p>
    <w:p w14:paraId="47593681" w14:textId="7E530425" w:rsidR="00243845" w:rsidRPr="008A263A" w:rsidRDefault="001200DC" w:rsidP="003238C7">
      <w:pPr>
        <w:pStyle w:val="AZListParagraph"/>
      </w:pPr>
      <w:r w:rsidRPr="00184091">
        <w:t xml:space="preserve">For non-culture method of detection refer to </w:t>
      </w:r>
      <w:r w:rsidRPr="008A263A">
        <w:rPr>
          <w:i/>
          <w:iCs/>
        </w:rPr>
        <w:t>Neisseria gonorrhoeae</w:t>
      </w:r>
      <w:r w:rsidRPr="008A263A">
        <w:t xml:space="preserve"> and Chlamydia Non</w:t>
      </w:r>
      <w:r w:rsidR="008A263A">
        <w:t>-</w:t>
      </w:r>
      <w:r w:rsidRPr="008A263A">
        <w:t xml:space="preserve">culture by Amplified DNA Assay and sample submission form </w:t>
      </w:r>
      <w:hyperlink r:id="rId9" w:history="1">
        <w:r w:rsidRPr="008A263A">
          <w:rPr>
            <w:rStyle w:val="Hyperlink"/>
            <w:color w:val="auto"/>
          </w:rPr>
          <w:t>DCH-1248</w:t>
        </w:r>
      </w:hyperlink>
      <w:r w:rsidRPr="008A263A">
        <w:t>.</w:t>
      </w:r>
    </w:p>
    <w:p w14:paraId="7C43EC12" w14:textId="77777777" w:rsidR="00F06031" w:rsidRPr="00184091" w:rsidRDefault="004163FD" w:rsidP="003238C7">
      <w:pPr>
        <w:pStyle w:val="AZHeading2"/>
      </w:pPr>
      <w:r w:rsidRPr="00184091">
        <w:t>ALIASES:</w:t>
      </w:r>
      <w:r w:rsidR="00F06031" w:rsidRPr="00184091">
        <w:t xml:space="preserve"> </w:t>
      </w:r>
    </w:p>
    <w:p w14:paraId="2F339988" w14:textId="382A7D66" w:rsidR="004163FD" w:rsidRPr="00184091" w:rsidRDefault="001200DC" w:rsidP="003238C7">
      <w:pPr>
        <w:pStyle w:val="AZNormalBody"/>
      </w:pPr>
      <w:r w:rsidRPr="00184091">
        <w:t>None</w:t>
      </w:r>
      <w:r w:rsidR="008123DC">
        <w:t>.</w:t>
      </w:r>
    </w:p>
    <w:sectPr w:rsidR="004163FD" w:rsidRPr="0018409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D5E9" w14:textId="77777777" w:rsidR="009871EA" w:rsidRDefault="009871EA" w:rsidP="00F06031">
      <w:r>
        <w:separator/>
      </w:r>
    </w:p>
  </w:endnote>
  <w:endnote w:type="continuationSeparator" w:id="0">
    <w:p w14:paraId="595C2BA2" w14:textId="77777777" w:rsidR="009871EA" w:rsidRDefault="009871EA" w:rsidP="00F0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7ECF" w14:textId="673A501D" w:rsidR="004163FD" w:rsidRPr="003238C7" w:rsidRDefault="004163FD" w:rsidP="00F06031">
    <w:pPr>
      <w:pStyle w:val="Footer"/>
      <w:rPr>
        <w:rFonts w:ascii="Arial" w:hAnsi="Arial" w:cs="Arial"/>
      </w:rPr>
    </w:pPr>
    <w:r w:rsidRPr="003238C7">
      <w:rPr>
        <w:rFonts w:ascii="Arial" w:hAnsi="Arial" w:cs="Arial"/>
      </w:rPr>
      <w:t>AZ.</w:t>
    </w:r>
    <w:r w:rsidR="001200DC" w:rsidRPr="003238C7">
      <w:rPr>
        <w:rFonts w:ascii="Arial" w:hAnsi="Arial" w:cs="Arial"/>
      </w:rPr>
      <w:t>053</w:t>
    </w:r>
    <w:r w:rsidRPr="003238C7">
      <w:rPr>
        <w:rFonts w:ascii="Arial" w:hAnsi="Arial" w:cs="Arial"/>
      </w:rPr>
      <w:tab/>
    </w:r>
    <w:sdt>
      <w:sdtPr>
        <w:rPr>
          <w:rFonts w:ascii="Arial" w:hAnsi="Arial" w:cs="Arial"/>
        </w:rPr>
        <w:id w:val="-108962098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3238C7">
              <w:rPr>
                <w:rFonts w:ascii="Arial" w:hAnsi="Arial" w:cs="Arial"/>
              </w:rPr>
              <w:t xml:space="preserve">Page </w:t>
            </w:r>
            <w:r w:rsidRPr="003238C7">
              <w:rPr>
                <w:rFonts w:ascii="Arial" w:hAnsi="Arial" w:cs="Arial"/>
                <w:b/>
                <w:bCs/>
              </w:rPr>
              <w:fldChar w:fldCharType="begin"/>
            </w:r>
            <w:r w:rsidRPr="003238C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3238C7">
              <w:rPr>
                <w:rFonts w:ascii="Arial" w:hAnsi="Arial" w:cs="Arial"/>
                <w:b/>
                <w:bCs/>
              </w:rPr>
              <w:fldChar w:fldCharType="separate"/>
            </w:r>
            <w:r w:rsidRPr="003238C7">
              <w:rPr>
                <w:rFonts w:ascii="Arial" w:hAnsi="Arial" w:cs="Arial"/>
                <w:b/>
                <w:bCs/>
                <w:noProof/>
              </w:rPr>
              <w:t>2</w:t>
            </w:r>
            <w:r w:rsidRPr="003238C7">
              <w:rPr>
                <w:rFonts w:ascii="Arial" w:hAnsi="Arial" w:cs="Arial"/>
                <w:b/>
                <w:bCs/>
              </w:rPr>
              <w:fldChar w:fldCharType="end"/>
            </w:r>
            <w:r w:rsidRPr="003238C7">
              <w:rPr>
                <w:rFonts w:ascii="Arial" w:hAnsi="Arial" w:cs="Arial"/>
              </w:rPr>
              <w:t xml:space="preserve"> of </w:t>
            </w:r>
            <w:r w:rsidRPr="003238C7">
              <w:rPr>
                <w:rFonts w:ascii="Arial" w:hAnsi="Arial" w:cs="Arial"/>
                <w:b/>
                <w:bCs/>
              </w:rPr>
              <w:fldChar w:fldCharType="begin"/>
            </w:r>
            <w:r w:rsidRPr="003238C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3238C7">
              <w:rPr>
                <w:rFonts w:ascii="Arial" w:hAnsi="Arial" w:cs="Arial"/>
                <w:b/>
                <w:bCs/>
              </w:rPr>
              <w:fldChar w:fldCharType="separate"/>
            </w:r>
            <w:r w:rsidRPr="003238C7">
              <w:rPr>
                <w:rFonts w:ascii="Arial" w:hAnsi="Arial" w:cs="Arial"/>
                <w:b/>
                <w:bCs/>
                <w:noProof/>
              </w:rPr>
              <w:t>2</w:t>
            </w:r>
            <w:r w:rsidRPr="003238C7">
              <w:rPr>
                <w:rFonts w:ascii="Arial" w:hAnsi="Arial" w:cs="Arial"/>
                <w:b/>
                <w:bCs/>
                <w:noProof/>
              </w:rPr>
              <w:fldChar w:fldCharType="end"/>
            </w:r>
            <w:r w:rsidRPr="003238C7">
              <w:rPr>
                <w:rFonts w:ascii="Arial" w:hAnsi="Arial" w:cs="Arial"/>
              </w:rPr>
              <w:tab/>
              <w:t>Rev</w:t>
            </w:r>
            <w:r w:rsidR="001200DC" w:rsidRPr="003238C7">
              <w:rPr>
                <w:rFonts w:ascii="Arial" w:hAnsi="Arial" w:cs="Arial"/>
              </w:rPr>
              <w:t xml:space="preserve"> 02/28/2025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AAC0" w14:textId="77777777" w:rsidR="009871EA" w:rsidRDefault="009871EA" w:rsidP="00F06031">
      <w:r>
        <w:separator/>
      </w:r>
    </w:p>
  </w:footnote>
  <w:footnote w:type="continuationSeparator" w:id="0">
    <w:p w14:paraId="1E9D5EB8" w14:textId="77777777" w:rsidR="009871EA" w:rsidRDefault="009871EA" w:rsidP="00F0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7C"/>
    <w:multiLevelType w:val="hybridMultilevel"/>
    <w:tmpl w:val="D42AD64A"/>
    <w:lvl w:ilvl="0" w:tplc="5FA81F7C">
      <w:start w:val="1"/>
      <w:numFmt w:val="bullet"/>
      <w:pStyle w:val="AZ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4EC4"/>
    <w:multiLevelType w:val="hybridMultilevel"/>
    <w:tmpl w:val="E4DC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6B24CA"/>
    <w:multiLevelType w:val="hybridMultilevel"/>
    <w:tmpl w:val="2B1A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6DA9"/>
    <w:multiLevelType w:val="hybridMultilevel"/>
    <w:tmpl w:val="96B4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B1152"/>
    <w:multiLevelType w:val="hybridMultilevel"/>
    <w:tmpl w:val="4E0A2A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904BA4"/>
    <w:multiLevelType w:val="hybridMultilevel"/>
    <w:tmpl w:val="9A4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71F69"/>
    <w:multiLevelType w:val="hybridMultilevel"/>
    <w:tmpl w:val="A4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722B5"/>
    <w:multiLevelType w:val="hybridMultilevel"/>
    <w:tmpl w:val="4EEAF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130CA1"/>
    <w:multiLevelType w:val="hybridMultilevel"/>
    <w:tmpl w:val="808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F3184"/>
    <w:multiLevelType w:val="hybridMultilevel"/>
    <w:tmpl w:val="4BE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251976">
    <w:abstractNumId w:val="0"/>
  </w:num>
  <w:num w:numId="2" w16cid:durableId="793408460">
    <w:abstractNumId w:val="1"/>
  </w:num>
  <w:num w:numId="3" w16cid:durableId="1037782208">
    <w:abstractNumId w:val="2"/>
  </w:num>
  <w:num w:numId="4" w16cid:durableId="368186625">
    <w:abstractNumId w:val="9"/>
  </w:num>
  <w:num w:numId="5" w16cid:durableId="1150243573">
    <w:abstractNumId w:val="5"/>
  </w:num>
  <w:num w:numId="6" w16cid:durableId="1876379661">
    <w:abstractNumId w:val="8"/>
  </w:num>
  <w:num w:numId="7" w16cid:durableId="1769276991">
    <w:abstractNumId w:val="6"/>
  </w:num>
  <w:num w:numId="8" w16cid:durableId="1776829923">
    <w:abstractNumId w:val="7"/>
  </w:num>
  <w:num w:numId="9" w16cid:durableId="581064447">
    <w:abstractNumId w:val="4"/>
  </w:num>
  <w:num w:numId="10" w16cid:durableId="2115395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FD"/>
    <w:rsid w:val="00025CC6"/>
    <w:rsid w:val="000B2837"/>
    <w:rsid w:val="001200DC"/>
    <w:rsid w:val="00184091"/>
    <w:rsid w:val="001B71DC"/>
    <w:rsid w:val="00243845"/>
    <w:rsid w:val="00251A45"/>
    <w:rsid w:val="002E07B0"/>
    <w:rsid w:val="003238C7"/>
    <w:rsid w:val="004163FD"/>
    <w:rsid w:val="00452EE2"/>
    <w:rsid w:val="00485037"/>
    <w:rsid w:val="0054559B"/>
    <w:rsid w:val="005B64C1"/>
    <w:rsid w:val="006F4A86"/>
    <w:rsid w:val="00743E2F"/>
    <w:rsid w:val="008123DC"/>
    <w:rsid w:val="008164BC"/>
    <w:rsid w:val="008914D1"/>
    <w:rsid w:val="008A263A"/>
    <w:rsid w:val="009565C8"/>
    <w:rsid w:val="009871EA"/>
    <w:rsid w:val="009C5148"/>
    <w:rsid w:val="00A149C2"/>
    <w:rsid w:val="00AB61D9"/>
    <w:rsid w:val="00B13F24"/>
    <w:rsid w:val="00BF11DC"/>
    <w:rsid w:val="00D600C1"/>
    <w:rsid w:val="00DD6B6F"/>
    <w:rsid w:val="00DD7B3F"/>
    <w:rsid w:val="00E647B3"/>
    <w:rsid w:val="00E951F6"/>
    <w:rsid w:val="00F06031"/>
    <w:rsid w:val="00F31D3C"/>
    <w:rsid w:val="00F9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D833A"/>
  <w15:chartTrackingRefBased/>
  <w15:docId w15:val="{A28A77FB-9204-4FF0-AFC8-FF18D6D6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388"/>
  </w:style>
  <w:style w:type="paragraph" w:styleId="Heading1">
    <w:name w:val="heading 1"/>
    <w:basedOn w:val="Normal"/>
    <w:next w:val="Normal"/>
    <w:link w:val="Heading1Char"/>
    <w:uiPriority w:val="9"/>
    <w:qFormat/>
    <w:rsid w:val="00F92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3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2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388"/>
  </w:style>
  <w:style w:type="paragraph" w:styleId="Footer">
    <w:name w:val="footer"/>
    <w:basedOn w:val="Normal"/>
    <w:link w:val="FooterChar"/>
    <w:uiPriority w:val="99"/>
    <w:unhideWhenUsed/>
    <w:rsid w:val="00F92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388"/>
  </w:style>
  <w:style w:type="character" w:styleId="Hyperlink">
    <w:name w:val="Hyperlink"/>
    <w:rsid w:val="001200DC"/>
    <w:rPr>
      <w:color w:val="0000FF"/>
      <w:u w:val="single"/>
    </w:rPr>
  </w:style>
  <w:style w:type="paragraph" w:customStyle="1" w:styleId="AZH2">
    <w:name w:val="AZH2"/>
    <w:basedOn w:val="Heading2"/>
    <w:next w:val="Normal"/>
    <w:link w:val="AZH2Char"/>
    <w:qFormat/>
    <w:rsid w:val="00F31D3C"/>
    <w:pPr>
      <w:spacing w:after="0"/>
    </w:pPr>
    <w:rPr>
      <w:rFonts w:ascii="Arial" w:hAnsi="Arial" w:cs="Arial"/>
      <w:color w:val="0F406B"/>
      <w:sz w:val="24"/>
    </w:rPr>
  </w:style>
  <w:style w:type="character" w:customStyle="1" w:styleId="AZH2Char">
    <w:name w:val="AZH2 Char"/>
    <w:basedOn w:val="Heading2Char"/>
    <w:link w:val="AZH2"/>
    <w:rsid w:val="00F31D3C"/>
    <w:rPr>
      <w:rFonts w:ascii="Arial" w:eastAsiaTheme="majorEastAsia" w:hAnsi="Arial" w:cs="Arial"/>
      <w:color w:val="0F406B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31D3C"/>
    <w:rPr>
      <w:color w:val="605E5C"/>
      <w:shd w:val="clear" w:color="auto" w:fill="E1DFDD"/>
    </w:rPr>
  </w:style>
  <w:style w:type="paragraph" w:customStyle="1" w:styleId="AZHeading1">
    <w:name w:val="AZ Heading 1"/>
    <w:basedOn w:val="Heading1"/>
    <w:link w:val="AZHeading1Char"/>
    <w:qFormat/>
    <w:rsid w:val="00F92388"/>
    <w:pPr>
      <w:spacing w:after="0"/>
      <w:jc w:val="center"/>
    </w:pPr>
    <w:rPr>
      <w:rFonts w:ascii="Arial" w:hAnsi="Arial" w:cs="Arial"/>
      <w:b/>
      <w:bCs/>
      <w:color w:val="0F406B"/>
      <w:sz w:val="32"/>
      <w:szCs w:val="32"/>
    </w:rPr>
  </w:style>
  <w:style w:type="character" w:customStyle="1" w:styleId="AZHeading1Char">
    <w:name w:val="AZ Heading 1 Char"/>
    <w:basedOn w:val="DefaultParagraphFont"/>
    <w:link w:val="AZHeading1"/>
    <w:rsid w:val="00F92388"/>
    <w:rPr>
      <w:rFonts w:ascii="Arial" w:eastAsiaTheme="majorEastAsia" w:hAnsi="Arial" w:cs="Arial"/>
      <w:b/>
      <w:bCs/>
      <w:color w:val="0F406B"/>
      <w:sz w:val="32"/>
      <w:szCs w:val="32"/>
    </w:rPr>
  </w:style>
  <w:style w:type="paragraph" w:customStyle="1" w:styleId="AZHeading2">
    <w:name w:val="AZ Heading 2"/>
    <w:basedOn w:val="Heading2"/>
    <w:link w:val="AZHeading2Char"/>
    <w:qFormat/>
    <w:rsid w:val="003238C7"/>
    <w:pPr>
      <w:spacing w:after="0"/>
    </w:pPr>
    <w:rPr>
      <w:rFonts w:ascii="Arial" w:hAnsi="Arial" w:cs="Arial"/>
      <w:color w:val="0F406B"/>
      <w:sz w:val="24"/>
      <w:szCs w:val="24"/>
    </w:rPr>
  </w:style>
  <w:style w:type="character" w:customStyle="1" w:styleId="AZHeading2Char">
    <w:name w:val="AZ Heading 2 Char"/>
    <w:basedOn w:val="Heading2Char"/>
    <w:link w:val="AZHeading2"/>
    <w:rsid w:val="003238C7"/>
    <w:rPr>
      <w:rFonts w:ascii="Arial" w:eastAsiaTheme="majorEastAsia" w:hAnsi="Arial" w:cs="Arial"/>
      <w:color w:val="0F406B"/>
      <w:sz w:val="32"/>
      <w:szCs w:val="32"/>
    </w:rPr>
  </w:style>
  <w:style w:type="paragraph" w:customStyle="1" w:styleId="AZNormalTitle">
    <w:name w:val="AZ Normal Title"/>
    <w:basedOn w:val="Normal"/>
    <w:qFormat/>
    <w:rsid w:val="00F92388"/>
    <w:pPr>
      <w:spacing w:after="0"/>
      <w:jc w:val="center"/>
    </w:pPr>
    <w:rPr>
      <w:rFonts w:ascii="Arial" w:hAnsi="Arial" w:cs="Arial"/>
    </w:rPr>
  </w:style>
  <w:style w:type="paragraph" w:customStyle="1" w:styleId="AZNormalBody">
    <w:name w:val="AZ Normal Body"/>
    <w:basedOn w:val="Normal"/>
    <w:qFormat/>
    <w:rsid w:val="00F92388"/>
    <w:rPr>
      <w:rFonts w:ascii="Arial" w:hAnsi="Arial" w:cs="Arial"/>
    </w:rPr>
  </w:style>
  <w:style w:type="paragraph" w:customStyle="1" w:styleId="AZListParagraph">
    <w:name w:val="AZ List Paragraph"/>
    <w:basedOn w:val="ListParagraph"/>
    <w:qFormat/>
    <w:rsid w:val="00F92388"/>
    <w:pPr>
      <w:numPr>
        <w:numId w:val="1"/>
      </w:numPr>
      <w:spacing w:after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gan.gov/mdch/0,1607,7-132-2945_5103_5278-14793--,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higan.gov/mdhhs/-/media/Project/Websites/mdhhs/BOL/Forms/DCH-0583TEST_REQUEST.pdf?rev=650611387dec49fd9c6a37a7bc8b6da4&amp;hash=589F24EA477A0061D846A547DE79C4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ichigan.gov/mdhhs/-/media/Project/Websites/mdhhs/Folder2/Folder53/Folder1/Folder153/DCH-12481211.pdf?rev=ff0a10ea681640a4a1325ea3da68c75a&amp;hash=F82EE80E565E0A2C2261D8F2C8BAB3C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ifasm\OneDrive%20-%20State%20of%20Michigan%20DTMB\ADA%20Form%20Changes\AZ_Test_Template_2026_04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AZ_Test_Template_2026_0415</Template>
  <TotalTime>5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Neisseria gonorrhoeae (culture &amp; sensitivity)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AZ.053 Neisseria gonorrhoeae (Culture &amp; Sensitivity)</dc:title>
  <dc:subject/>
  <dc:creator>Seymour, Heather (DHHS)</dc:creator>
  <cp:keywords>Document</cp:keywords>
  <dc:description>AZ.053 Neisseria gonorrhoeae (Culture &amp; Sensitivity)</dc:description>
  <cp:lastModifiedBy>Seymour, Heather (DHHS)</cp:lastModifiedBy>
  <cp:revision>6</cp:revision>
  <dcterms:created xsi:type="dcterms:W3CDTF">2026-04-13T17:28:00Z</dcterms:created>
  <dcterms:modified xsi:type="dcterms:W3CDTF">2026-04-21T15:47:00Z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2026-01-23T20:58:46Z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122b2eb1-fa7a-4ea8-a760-31f5e9722eba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