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63C" w:rsidP="0067188A" w:rsidRDefault="0049563C" w14:paraId="35C46E62" w14:textId="77777777">
      <w:pPr>
        <w:pStyle w:val="AZNormalTitle"/>
      </w:pPr>
      <w:r w:rsidRPr="000D07C1">
        <w:t>Michigan Department of Health and Human Services</w:t>
      </w:r>
    </w:p>
    <w:p w:rsidRPr="0049563C" w:rsidR="00461151" w:rsidP="0067188A" w:rsidRDefault="0049563C" w14:paraId="790DBCBF" w14:textId="18235E79">
      <w:pPr>
        <w:pStyle w:val="AZNormalTitle"/>
      </w:pPr>
      <w:r w:rsidRPr="000D07C1">
        <w:t>Bureau of Laboratories</w:t>
      </w:r>
    </w:p>
    <w:p w:rsidR="00461151" w:rsidP="0067188A" w:rsidRDefault="00C938E6" w14:paraId="2A71C0BD" w14:textId="32BEA90B">
      <w:pPr>
        <w:pStyle w:val="AZHeading1"/>
      </w:pPr>
      <w:r>
        <w:t xml:space="preserve">AZ.073 </w:t>
      </w:r>
      <w:r w:rsidRPr="0049563C" w:rsidR="00584E1C">
        <w:t xml:space="preserve">Syphilis Antibody Assay </w:t>
      </w:r>
      <w:r w:rsidRPr="0049563C" w:rsidR="0042023B">
        <w:t xml:space="preserve">for </w:t>
      </w:r>
      <w:r w:rsidRPr="0049563C" w:rsidR="00584E1C">
        <w:t>CSF</w:t>
      </w:r>
      <w:r w:rsidRPr="0049563C" w:rsidR="0049563C">
        <w:t xml:space="preserve"> </w:t>
      </w:r>
      <w:r w:rsidRPr="0049563C" w:rsidR="00584E1C">
        <w:t xml:space="preserve">(VDRL-CSF) </w:t>
      </w:r>
    </w:p>
    <w:p w:rsidRPr="0049563C" w:rsidR="0049563C" w:rsidP="0067188A" w:rsidRDefault="0049563C" w14:paraId="4EC28209" w14:textId="4793E0B8">
      <w:pPr>
        <w:pStyle w:val="AZNormalTitle"/>
      </w:pPr>
      <w:r w:rsidRPr="000D07C1">
        <w:t>Rev 01/2</w:t>
      </w:r>
      <w:r>
        <w:t>9</w:t>
      </w:r>
      <w:r w:rsidRPr="000D07C1">
        <w:t>/2025</w:t>
      </w:r>
    </w:p>
    <w:p w:rsidRPr="0049563C" w:rsidR="0049563C" w:rsidP="0067188A" w:rsidRDefault="00C0500D" w14:paraId="65B4159F" w14:textId="77777777">
      <w:pPr>
        <w:pStyle w:val="AZHeading2"/>
      </w:pPr>
      <w:r w:rsidRPr="0049563C">
        <w:t>ANALYTES TESTED:</w:t>
      </w:r>
      <w:r w:rsidRPr="0049563C" w:rsidR="00D30AFA">
        <w:t xml:space="preserve"> </w:t>
      </w:r>
      <w:r w:rsidRPr="0049563C" w:rsidR="000C11F7">
        <w:t xml:space="preserve"> </w:t>
      </w:r>
    </w:p>
    <w:p w:rsidRPr="00A10929" w:rsidR="00EA0D15" w:rsidP="0067188A" w:rsidRDefault="00EA0D15" w14:paraId="56480587" w14:textId="722250AD">
      <w:pPr>
        <w:pStyle w:val="AZNormalBody"/>
      </w:pPr>
      <w:r w:rsidRPr="00A10929">
        <w:rPr>
          <w:i/>
          <w:iCs/>
        </w:rPr>
        <w:t>Treponemal pallidum</w:t>
      </w:r>
      <w:r w:rsidRPr="00A10929">
        <w:t xml:space="preserve"> (syphilis) non-treponemal (lipoidal)</w:t>
      </w:r>
      <w:r w:rsidR="0049563C">
        <w:t xml:space="preserve"> </w:t>
      </w:r>
      <w:r w:rsidRPr="00A10929" w:rsidR="009A1790">
        <w:t>A</w:t>
      </w:r>
      <w:r w:rsidRPr="00A10929">
        <w:t>ntibodies</w:t>
      </w:r>
      <w:r w:rsidRPr="00A10929" w:rsidR="009A1790">
        <w:t xml:space="preserve"> in CSF</w:t>
      </w:r>
      <w:r w:rsidRPr="00A10929">
        <w:t>.</w:t>
      </w:r>
    </w:p>
    <w:p w:rsidR="0049563C" w:rsidP="0067188A" w:rsidRDefault="00461151" w14:paraId="647A03E6" w14:textId="77777777">
      <w:pPr>
        <w:pStyle w:val="AZHeading2"/>
      </w:pPr>
      <w:r w:rsidRPr="00A10929">
        <w:t>USE OF TEST</w:t>
      </w:r>
      <w:r w:rsidRPr="00A10929" w:rsidR="0049563C">
        <w:t xml:space="preserve">: </w:t>
      </w:r>
    </w:p>
    <w:p w:rsidRPr="0049563C" w:rsidR="00461151" w:rsidP="0067188A" w:rsidRDefault="0049563C" w14:paraId="0647EB2E" w14:textId="5596A8B6">
      <w:pPr>
        <w:pStyle w:val="AZNormalBody"/>
      </w:pPr>
      <w:r w:rsidRPr="00A10929">
        <w:t>The</w:t>
      </w:r>
      <w:r w:rsidRPr="00A10929" w:rsidR="00EA0D15">
        <w:t xml:space="preserve"> syphilis Venereal Disease Research Laboratory (VDRL) is a </w:t>
      </w:r>
      <w:r w:rsidRPr="00A10929" w:rsidR="00D30AFA">
        <w:t xml:space="preserve">microscopic flocculation test to detect anti-lipoidal </w:t>
      </w:r>
      <w:r w:rsidRPr="00A10929" w:rsidR="00712751">
        <w:t>(cardiolipin</w:t>
      </w:r>
      <w:r w:rsidRPr="00A10929" w:rsidR="00EA0D15">
        <w:t>, reagin</w:t>
      </w:r>
      <w:r w:rsidRPr="00A10929" w:rsidR="00712751">
        <w:t xml:space="preserve">) </w:t>
      </w:r>
      <w:r w:rsidRPr="00A10929" w:rsidR="00D30AFA">
        <w:t>antibodies in cerebr</w:t>
      </w:r>
      <w:r w:rsidR="00C938E6">
        <w:t>o</w:t>
      </w:r>
      <w:r w:rsidRPr="00A10929" w:rsidR="00D30AFA">
        <w:t>spinal fluid (CSF) as an aid to diagnose neurosyphilis.</w:t>
      </w:r>
    </w:p>
    <w:p w:rsidRPr="00A10929" w:rsidR="00461151" w:rsidP="0067188A" w:rsidRDefault="00461151" w14:paraId="1015F910" w14:textId="77777777">
      <w:pPr>
        <w:pStyle w:val="AZHeading2"/>
      </w:pPr>
      <w:r w:rsidRPr="00A10929">
        <w:t>SPECIMEN COLLECTION AND SUBMISSION GUIDELINES:</w:t>
      </w:r>
    </w:p>
    <w:p w:rsidR="0049563C" w:rsidP="0067188A" w:rsidRDefault="00461151" w14:paraId="3806B9B7" w14:textId="77777777">
      <w:pPr>
        <w:pStyle w:val="AZListParagraph"/>
        <w:rPr/>
      </w:pPr>
      <w:r w:rsidR="00461151">
        <w:rPr/>
        <w:t xml:space="preserve">Test Request Form </w:t>
      </w:r>
      <w:hyperlink r:id="R2e0b4bdfdad94396">
        <w:r w:rsidRPr="47C7C533" w:rsidR="009E1D9A">
          <w:rPr>
            <w:rStyle w:val="Hyperlink"/>
            <w:color w:val="auto"/>
          </w:rPr>
          <w:t>MDHHS-6084</w:t>
        </w:r>
      </w:hyperlink>
      <w:r w:rsidR="0049563C">
        <w:rPr/>
        <w:t>.</w:t>
      </w:r>
    </w:p>
    <w:p w:rsidR="0049563C" w:rsidP="0067188A" w:rsidRDefault="00EA0D15" w14:paraId="19DFF598" w14:textId="77777777">
      <w:pPr>
        <w:pStyle w:val="AZListParagraph"/>
      </w:pPr>
      <w:r w:rsidRPr="00A10929">
        <w:t xml:space="preserve">For </w:t>
      </w:r>
      <w:r w:rsidRPr="00A10929" w:rsidR="009E1D9A">
        <w:t>Specimen Collection</w:t>
      </w:r>
      <w:r w:rsidRPr="00A10929">
        <w:t xml:space="preserve">, refer to your agency’s protocol. </w:t>
      </w:r>
    </w:p>
    <w:p w:rsidR="0049563C" w:rsidP="0067188A" w:rsidRDefault="0049563C" w14:paraId="24C3D05C" w14:textId="77777777">
      <w:pPr>
        <w:pStyle w:val="AZListParagraph"/>
      </w:pPr>
      <w:hyperlink w:history="1" r:id="rId8">
        <w:r w:rsidRPr="00DC053A">
          <w:rPr>
            <w:rStyle w:val="Hyperlink"/>
            <w:color w:val="auto"/>
          </w:rPr>
          <w:t>Specimen Submission Guidelines</w:t>
        </w:r>
      </w:hyperlink>
      <w:r>
        <w:t>.</w:t>
      </w:r>
    </w:p>
    <w:p w:rsidR="0049563C" w:rsidP="0067188A" w:rsidRDefault="004C46E5" w14:paraId="33E707E7" w14:textId="77777777">
      <w:pPr>
        <w:pStyle w:val="AZListParagraph"/>
      </w:pPr>
      <w:r w:rsidRPr="00A10929">
        <w:t xml:space="preserve">Transport Temperature: </w:t>
      </w:r>
      <w:r w:rsidRPr="00A10929" w:rsidR="007050AF">
        <w:t>on frozen cold packs or dry ice</w:t>
      </w:r>
      <w:r w:rsidR="007E0EF1">
        <w:t>, (</w:t>
      </w:r>
      <w:r w:rsidRPr="0049563C" w:rsidR="007E0EF1">
        <w:rPr>
          <w:u w:val="single"/>
        </w:rPr>
        <w:t>&lt;</w:t>
      </w:r>
      <w:r w:rsidR="007E0EF1">
        <w:t>8°C)</w:t>
      </w:r>
      <w:r w:rsidRPr="00A10929" w:rsidR="009E1D9A">
        <w:t>.</w:t>
      </w:r>
    </w:p>
    <w:p w:rsidRPr="00A10929" w:rsidR="00712751" w:rsidP="0067188A" w:rsidRDefault="00216309" w14:paraId="0F8D276D" w14:textId="03B884F7">
      <w:pPr>
        <w:pStyle w:val="AZListParagraph"/>
      </w:pPr>
      <w:r w:rsidRPr="00A10929">
        <w:t>No special patient preparation is required.</w:t>
      </w:r>
    </w:p>
    <w:p w:rsidRPr="00A10929" w:rsidR="00461151" w:rsidP="0067188A" w:rsidRDefault="00461151" w14:paraId="352E2A8F" w14:textId="77777777">
      <w:pPr>
        <w:pStyle w:val="AZHeading2"/>
      </w:pPr>
      <w:r w:rsidRPr="00A10929">
        <w:t>SPECIMEN TYPE:</w:t>
      </w:r>
    </w:p>
    <w:p w:rsidR="0049563C" w:rsidP="0067188A" w:rsidRDefault="00C0500D" w14:paraId="2E13D44A" w14:textId="4F78B029">
      <w:pPr>
        <w:pStyle w:val="AZListParagraph"/>
      </w:pPr>
      <w:r w:rsidRPr="00A10929">
        <w:t>Specimen</w:t>
      </w:r>
      <w:r w:rsidRPr="00A10929" w:rsidR="00D944AA">
        <w:t xml:space="preserve"> Required</w:t>
      </w:r>
      <w:r w:rsidRPr="00A10929" w:rsidR="00711218">
        <w:t>:</w:t>
      </w:r>
      <w:r w:rsidRPr="00A10929" w:rsidR="00D30AFA">
        <w:t xml:space="preserve"> C</w:t>
      </w:r>
      <w:r w:rsidRPr="00A10929" w:rsidR="008C7B98">
        <w:t>erebr</w:t>
      </w:r>
      <w:r w:rsidR="00C938E6">
        <w:t>o</w:t>
      </w:r>
      <w:r w:rsidRPr="00A10929" w:rsidR="008C7B98">
        <w:t>spinal fluid (C</w:t>
      </w:r>
      <w:r w:rsidRPr="00A10929" w:rsidR="00D30AFA">
        <w:t>SF</w:t>
      </w:r>
      <w:r w:rsidRPr="00A10929" w:rsidR="008C7B98">
        <w:t>)</w:t>
      </w:r>
      <w:r w:rsidRPr="00A10929" w:rsidR="00B73C14">
        <w:t xml:space="preserve"> </w:t>
      </w:r>
      <w:r w:rsidRPr="00A10929" w:rsidR="00BD2AB7">
        <w:t xml:space="preserve">tube #3 </w:t>
      </w:r>
      <w:r w:rsidRPr="00A10929" w:rsidR="00B73C14">
        <w:t>- must be free of blood.</w:t>
      </w:r>
    </w:p>
    <w:p w:rsidR="0049563C" w:rsidP="0067188A" w:rsidRDefault="004C46E5" w14:paraId="30477D56" w14:textId="5611D056">
      <w:pPr>
        <w:pStyle w:val="AZListParagraph"/>
      </w:pPr>
      <w:r w:rsidRPr="00A10929">
        <w:t>Minimum Acceptable Volume:</w:t>
      </w:r>
      <w:r w:rsidRPr="00A10929" w:rsidR="00D30AFA">
        <w:t xml:space="preserve"> </w:t>
      </w:r>
      <w:r w:rsidRPr="00A10929" w:rsidR="00BD2AB7">
        <w:t xml:space="preserve">0.5 </w:t>
      </w:r>
      <w:r w:rsidRPr="00A10929" w:rsidR="00D30AFA">
        <w:t>m</w:t>
      </w:r>
      <w:r w:rsidR="0049563C">
        <w:t>L.</w:t>
      </w:r>
    </w:p>
    <w:p w:rsidR="0049563C" w:rsidP="0067188A" w:rsidRDefault="00711218" w14:paraId="1A3404AA" w14:textId="77777777">
      <w:pPr>
        <w:pStyle w:val="AZListParagraph"/>
      </w:pPr>
      <w:r w:rsidRPr="00A10929">
        <w:t>Container:</w:t>
      </w:r>
      <w:r w:rsidRPr="00A10929" w:rsidR="00D30AFA">
        <w:t xml:space="preserve"> </w:t>
      </w:r>
      <w:r w:rsidRPr="00A10929" w:rsidR="009E1D9A">
        <w:t>3- or 5-m</w:t>
      </w:r>
      <w:r w:rsidR="0049563C">
        <w:t xml:space="preserve">L </w:t>
      </w:r>
      <w:r w:rsidRPr="00A10929" w:rsidR="00712751">
        <w:t>p</w:t>
      </w:r>
      <w:r w:rsidRPr="00A10929" w:rsidR="00802E9B">
        <w:t xml:space="preserve">lastic screw </w:t>
      </w:r>
      <w:r w:rsidRPr="00A10929" w:rsidR="00D30AFA">
        <w:t>cap</w:t>
      </w:r>
      <w:r w:rsidRPr="00A10929" w:rsidR="0055092B">
        <w:t>ped</w:t>
      </w:r>
      <w:r w:rsidRPr="00A10929" w:rsidR="00D30AFA">
        <w:t xml:space="preserve"> tube or </w:t>
      </w:r>
      <w:r w:rsidRPr="00A10929" w:rsidR="00712751">
        <w:t xml:space="preserve">original </w:t>
      </w:r>
      <w:r w:rsidRPr="00A10929" w:rsidR="008C7B98">
        <w:t>CSF screw cap</w:t>
      </w:r>
      <w:r w:rsidRPr="00A10929" w:rsidR="0055092B">
        <w:t>ped</w:t>
      </w:r>
      <w:r w:rsidRPr="00A10929" w:rsidR="009E1D9A">
        <w:t xml:space="preserve"> </w:t>
      </w:r>
      <w:r w:rsidRPr="00A10929" w:rsidR="008C7B98">
        <w:t>tube</w:t>
      </w:r>
    </w:p>
    <w:p w:rsidRPr="00A10929" w:rsidR="008C7B98" w:rsidP="0067188A" w:rsidRDefault="00711218" w14:paraId="0A393A7D" w14:textId="48D0E260">
      <w:pPr>
        <w:pStyle w:val="AZListParagraph"/>
      </w:pPr>
      <w:r w:rsidRPr="00A10929">
        <w:t>Shipping Unit:</w:t>
      </w:r>
      <w:r w:rsidRPr="00A10929" w:rsidR="00D30AFA">
        <w:t xml:space="preserve"> </w:t>
      </w:r>
      <w:r w:rsidR="0049563C">
        <w:t xml:space="preserve">Unit </w:t>
      </w:r>
      <w:r w:rsidRPr="00A10929" w:rsidR="00D30AFA">
        <w:t>8</w:t>
      </w:r>
      <w:r w:rsidRPr="00A10929" w:rsidR="009E1D9A">
        <w:t>A</w:t>
      </w:r>
      <w:r w:rsidR="0049563C">
        <w:t>.</w:t>
      </w:r>
    </w:p>
    <w:p w:rsidRPr="00A10929" w:rsidR="00D944AA" w:rsidP="0067188A" w:rsidRDefault="008A09CA" w14:paraId="508586BB" w14:textId="77777777">
      <w:pPr>
        <w:pStyle w:val="AZHeading2"/>
      </w:pPr>
      <w:r w:rsidRPr="00A10929">
        <w:t>SPECIMEN REJECTION CRITERIA:</w:t>
      </w:r>
    </w:p>
    <w:p w:rsidR="0049563C" w:rsidP="0067188A" w:rsidRDefault="00195C38" w14:paraId="1A564820" w14:textId="77777777">
      <w:pPr>
        <w:pStyle w:val="AZListParagraph"/>
      </w:pPr>
      <w:r w:rsidRPr="00A10929">
        <w:t>Specimens lacking two u</w:t>
      </w:r>
      <w:r w:rsidRPr="00A10929" w:rsidR="00D30AFA">
        <w:t>nique patient identifier</w:t>
      </w:r>
      <w:r w:rsidRPr="00A10929">
        <w:t xml:space="preserve">s (i.e., full name, date of birth) </w:t>
      </w:r>
      <w:r w:rsidRPr="00A10929" w:rsidR="00E23343">
        <w:t>will not be tested</w:t>
      </w:r>
      <w:r w:rsidRPr="00A10929">
        <w:t>.</w:t>
      </w:r>
      <w:r w:rsidRPr="00A10929" w:rsidR="00712751">
        <w:t xml:space="preserve">  </w:t>
      </w:r>
    </w:p>
    <w:p w:rsidR="0049563C" w:rsidP="0067188A" w:rsidRDefault="007E0EF1" w14:paraId="291AF937" w14:textId="77777777">
      <w:pPr>
        <w:pStyle w:val="AZListParagraph"/>
      </w:pPr>
      <w:r w:rsidRPr="000F58E2">
        <w:t>Specimens received outside of appropriate transport temperature may not be tested.</w:t>
      </w:r>
    </w:p>
    <w:p w:rsidR="0049563C" w:rsidP="0067188A" w:rsidRDefault="007E0EF1" w14:paraId="0249A64C" w14:textId="77777777">
      <w:pPr>
        <w:pStyle w:val="AZListParagraph"/>
      </w:pPr>
      <w:r>
        <w:t>Specimens are leaking.</w:t>
      </w:r>
    </w:p>
    <w:p w:rsidRPr="00A10929" w:rsidR="00711218" w:rsidP="0067188A" w:rsidRDefault="00195C38" w14:paraId="400D5DDC" w14:textId="28637A36">
      <w:pPr>
        <w:pStyle w:val="AZListParagraph"/>
      </w:pPr>
      <w:r w:rsidRPr="00A10929">
        <w:t xml:space="preserve">Testing will only be performed on patients </w:t>
      </w:r>
      <w:r w:rsidRPr="00A10929" w:rsidR="00EA0D15">
        <w:t>on specimens with</w:t>
      </w:r>
      <w:r w:rsidRPr="00A10929">
        <w:t xml:space="preserve"> </w:t>
      </w:r>
      <w:r w:rsidRPr="00A10929" w:rsidR="00D30AFA">
        <w:t xml:space="preserve">reactive </w:t>
      </w:r>
      <w:r w:rsidRPr="00A10929" w:rsidR="00454E6F">
        <w:t xml:space="preserve">serum </w:t>
      </w:r>
      <w:r w:rsidRPr="00A10929" w:rsidR="00D30AFA">
        <w:t>treponemal test</w:t>
      </w:r>
      <w:r w:rsidRPr="00A10929">
        <w:t>s</w:t>
      </w:r>
      <w:r w:rsidRPr="00A10929" w:rsidR="008C7B98">
        <w:t xml:space="preserve"> (</w:t>
      </w:r>
      <w:r w:rsidRPr="00A10929" w:rsidR="00802E9B">
        <w:t xml:space="preserve">e.g., </w:t>
      </w:r>
      <w:r w:rsidRPr="00A10929" w:rsidR="00EB2DE2">
        <w:t>MIA, TP-PA)</w:t>
      </w:r>
      <w:r w:rsidRPr="00A10929" w:rsidR="00D30AFA">
        <w:t>.</w:t>
      </w:r>
    </w:p>
    <w:p w:rsidRPr="00A10929" w:rsidR="00711218" w:rsidP="0067188A" w:rsidRDefault="00711218" w14:paraId="5BD69A76" w14:textId="77777777">
      <w:pPr>
        <w:pStyle w:val="AZHeading2"/>
      </w:pPr>
      <w:r w:rsidRPr="00A10929">
        <w:t>TEST PER</w:t>
      </w:r>
      <w:r w:rsidRPr="00A10929" w:rsidR="00D944AA">
        <w:t>F</w:t>
      </w:r>
      <w:r w:rsidRPr="00A10929">
        <w:t>ORMED:</w:t>
      </w:r>
    </w:p>
    <w:p w:rsidR="0049563C" w:rsidP="0067188A" w:rsidRDefault="00D944AA" w14:paraId="3E2DB5F4" w14:textId="77777777">
      <w:pPr>
        <w:pStyle w:val="AZListParagraph"/>
      </w:pPr>
      <w:r w:rsidRPr="00A10929">
        <w:t>Methodology:</w:t>
      </w:r>
      <w:r w:rsidRPr="00A10929" w:rsidR="00D30AFA">
        <w:t xml:space="preserve"> </w:t>
      </w:r>
      <w:r w:rsidRPr="00A10929" w:rsidR="0049563C">
        <w:t>Microflocculation</w:t>
      </w:r>
      <w:r w:rsidR="0049563C">
        <w:t>.</w:t>
      </w:r>
    </w:p>
    <w:p w:rsidR="0049563C" w:rsidP="0067188A" w:rsidRDefault="00C0500D" w14:paraId="7382866F" w14:textId="77777777">
      <w:pPr>
        <w:pStyle w:val="AZListParagraph"/>
      </w:pPr>
      <w:r w:rsidRPr="00A10929">
        <w:t>Turn</w:t>
      </w:r>
      <w:r w:rsidR="0049563C">
        <w:t>a</w:t>
      </w:r>
      <w:r w:rsidRPr="00A10929">
        <w:t>round</w:t>
      </w:r>
      <w:r w:rsidRPr="00A10929" w:rsidR="00D944AA">
        <w:t xml:space="preserve"> Time:</w:t>
      </w:r>
      <w:r w:rsidRPr="00A10929" w:rsidR="00D30AFA">
        <w:t xml:space="preserve"> </w:t>
      </w:r>
      <w:r w:rsidRPr="00A10929" w:rsidR="009E1D9A">
        <w:t>72 hours.</w:t>
      </w:r>
    </w:p>
    <w:p w:rsidRPr="00243845" w:rsidR="0025708E" w:rsidP="0025708E" w:rsidRDefault="0025708E" w14:paraId="7E2F5AAD" w14:textId="57192E3D">
      <w:pPr>
        <w:pStyle w:val="AZListParagraph"/>
      </w:pPr>
      <w:r>
        <w:t>Testing is performed weekly at the Bureau of Laboratories.</w:t>
      </w:r>
    </w:p>
    <w:p w:rsidRPr="00A10929" w:rsidR="00D944AA" w:rsidP="0067188A" w:rsidRDefault="00D944AA" w14:paraId="0EA163FC" w14:textId="77777777">
      <w:pPr>
        <w:pStyle w:val="AZHeading2"/>
      </w:pPr>
      <w:r w:rsidRPr="00A10929">
        <w:t>RESULT INTERPRETATION:</w:t>
      </w:r>
    </w:p>
    <w:p w:rsidRPr="00A10929" w:rsidR="00D30AFA" w:rsidP="0025708E" w:rsidRDefault="00C0500D" w14:paraId="7AD4C299" w14:textId="530836FA">
      <w:pPr>
        <w:pStyle w:val="AZNormalBody"/>
        <w:spacing w:after="0"/>
      </w:pPr>
      <w:r w:rsidRPr="00A10929">
        <w:t>Reference Range:</w:t>
      </w:r>
      <w:r w:rsidRPr="00A10929" w:rsidR="00D30AFA">
        <w:t xml:space="preserve"> Nonreactive</w:t>
      </w:r>
      <w:r w:rsidRPr="00A10929" w:rsidR="008B620E">
        <w:t xml:space="preserve"> (no antibody detected)</w:t>
      </w:r>
      <w:r w:rsidR="00C938E6">
        <w:t>.</w:t>
      </w:r>
    </w:p>
    <w:p w:rsidRPr="00A10929" w:rsidR="009E1D9A" w:rsidP="0067188A" w:rsidRDefault="00B81DC7" w14:paraId="30F0BCB3" w14:textId="6FD5EBBF">
      <w:pPr>
        <w:pStyle w:val="AZListParagraph"/>
      </w:pPr>
      <w:r w:rsidRPr="00A10929">
        <w:t xml:space="preserve">Reactive </w:t>
      </w:r>
      <w:r w:rsidRPr="00A10929" w:rsidR="008B620E">
        <w:t>Result:</w:t>
      </w:r>
      <w:r w:rsidR="00C938E6">
        <w:t xml:space="preserve"> </w:t>
      </w:r>
      <w:r w:rsidRPr="00A10929" w:rsidR="00D30AFA">
        <w:t>A reactive VDRL test</w:t>
      </w:r>
      <w:r w:rsidRPr="00A10929" w:rsidR="00E23343">
        <w:t xml:space="preserve"> in </w:t>
      </w:r>
      <w:r w:rsidRPr="00A10929" w:rsidR="008C7B98">
        <w:t xml:space="preserve">CSF </w:t>
      </w:r>
      <w:r w:rsidRPr="00A10929" w:rsidR="00E23343">
        <w:t xml:space="preserve">specimens lacking </w:t>
      </w:r>
      <w:r w:rsidRPr="00A10929" w:rsidR="00D30AFA">
        <w:t xml:space="preserve">blood or other contaminants, almost always indicates past or present syphilis infection of the </w:t>
      </w:r>
      <w:r w:rsidRPr="00A10929" w:rsidR="00B73C14">
        <w:t>central nervous system (</w:t>
      </w:r>
      <w:r w:rsidRPr="00A10929" w:rsidR="00D30AFA">
        <w:t>CNS</w:t>
      </w:r>
      <w:r w:rsidRPr="00A10929" w:rsidR="00B73C14">
        <w:t>)</w:t>
      </w:r>
      <w:r w:rsidRPr="00A10929" w:rsidR="00D30AFA">
        <w:t xml:space="preserve">. A biological false-positive test result is </w:t>
      </w:r>
      <w:r w:rsidRPr="00A10929" w:rsidR="00BD2AB7">
        <w:t>rarely found</w:t>
      </w:r>
      <w:r w:rsidRPr="00A10929" w:rsidR="00D30AFA">
        <w:t xml:space="preserve"> in spinal fluid.</w:t>
      </w:r>
    </w:p>
    <w:p w:rsidRPr="00A10929" w:rsidR="00D944AA" w:rsidP="0067188A" w:rsidRDefault="008B620E" w14:paraId="6D29D235" w14:textId="128246F8">
      <w:pPr>
        <w:pStyle w:val="AZListParagraph"/>
      </w:pPr>
      <w:r w:rsidRPr="00A10929">
        <w:t>Non-reactive Result:</w:t>
      </w:r>
      <w:r w:rsidR="00C938E6">
        <w:t xml:space="preserve"> </w:t>
      </w:r>
      <w:r w:rsidRPr="00A10929" w:rsidR="00D30AFA">
        <w:t xml:space="preserve">A nonreactive VDRL test may indicate the patient does not have neurosyphilis. However, </w:t>
      </w:r>
      <w:r w:rsidRPr="00A10929" w:rsidR="00C938E6">
        <w:t>negative results often occur</w:t>
      </w:r>
      <w:r w:rsidRPr="00A10929" w:rsidR="00EA0D15">
        <w:t xml:space="preserve"> </w:t>
      </w:r>
      <w:r w:rsidRPr="00A10929" w:rsidR="00D30AFA">
        <w:t>in neurosyphilis patients</w:t>
      </w:r>
      <w:r w:rsidRPr="00A10929" w:rsidR="009E1D9A">
        <w:t xml:space="preserve"> due to the low sensitivity of this test method</w:t>
      </w:r>
      <w:r w:rsidRPr="00A10929" w:rsidR="00D30AFA">
        <w:t xml:space="preserve">. Nonspecific changes in the CSF of neurosyphilis patients </w:t>
      </w:r>
      <w:r w:rsidRPr="00A10929" w:rsidR="009E1D9A">
        <w:t xml:space="preserve">also may </w:t>
      </w:r>
      <w:r w:rsidRPr="00A10929" w:rsidR="00D30AFA">
        <w:t xml:space="preserve">include an increase in total protein and </w:t>
      </w:r>
      <w:r w:rsidRPr="00A10929" w:rsidR="009E1D9A">
        <w:t>WBC</w:t>
      </w:r>
      <w:r w:rsidRPr="00A10929" w:rsidR="00D30AFA">
        <w:t xml:space="preserve"> count.</w:t>
      </w:r>
    </w:p>
    <w:p w:rsidR="00C938E6" w:rsidP="0067188A" w:rsidRDefault="00C0500D" w14:paraId="43FAE73A" w14:textId="77777777">
      <w:pPr>
        <w:pStyle w:val="AZHeading2"/>
      </w:pPr>
      <w:r w:rsidRPr="00A10929">
        <w:t xml:space="preserve">FEES: </w:t>
      </w:r>
      <w:r w:rsidRPr="00A10929">
        <w:tab/>
      </w:r>
    </w:p>
    <w:p w:rsidRPr="00A10929" w:rsidR="00C0500D" w:rsidP="0067188A" w:rsidRDefault="00C938E6" w14:paraId="4D0D1B1E" w14:textId="517FD0C6">
      <w:pPr>
        <w:pStyle w:val="AZNormalBody"/>
      </w:pPr>
      <w:r>
        <w:t>Not Applicable.</w:t>
      </w:r>
    </w:p>
    <w:p w:rsidRPr="00A10929" w:rsidR="00B73C14" w:rsidP="0067188A" w:rsidRDefault="00D944AA" w14:paraId="0AD61CA7" w14:textId="77777777">
      <w:pPr>
        <w:pStyle w:val="AZHeading2"/>
      </w:pPr>
      <w:r w:rsidRPr="00A10929">
        <w:t>NOTES:</w:t>
      </w:r>
    </w:p>
    <w:p w:rsidRPr="00A10929" w:rsidR="00B73C14" w:rsidP="0067188A" w:rsidRDefault="00B73C14" w14:paraId="5315E279" w14:textId="77777777">
      <w:pPr>
        <w:pStyle w:val="AZListParagraph"/>
      </w:pPr>
      <w:r w:rsidRPr="00A10929">
        <w:t xml:space="preserve">CSF that </w:t>
      </w:r>
      <w:r w:rsidRPr="00A10929" w:rsidR="009E1D9A">
        <w:t>meets</w:t>
      </w:r>
      <w:r w:rsidRPr="00A10929">
        <w:t xml:space="preserve"> one of the following </w:t>
      </w:r>
      <w:proofErr w:type="gramStart"/>
      <w:r w:rsidRPr="00A10929">
        <w:t>criteria</w:t>
      </w:r>
      <w:proofErr w:type="gramEnd"/>
      <w:r w:rsidRPr="00A10929">
        <w:t xml:space="preserve"> will be tested:</w:t>
      </w:r>
    </w:p>
    <w:p w:rsidRPr="00A10929" w:rsidR="00B73C14" w:rsidP="0067188A" w:rsidRDefault="00B73C14" w14:paraId="099E1174" w14:textId="44F7D693">
      <w:pPr>
        <w:pStyle w:val="AZListParagraph"/>
        <w:numPr>
          <w:ilvl w:val="1"/>
          <w:numId w:val="9"/>
        </w:numPr>
      </w:pPr>
      <w:r w:rsidRPr="00A10929">
        <w:t xml:space="preserve">CSF </w:t>
      </w:r>
      <w:proofErr w:type="gramStart"/>
      <w:r w:rsidRPr="00A10929">
        <w:t>accompanied</w:t>
      </w:r>
      <w:proofErr w:type="gramEnd"/>
      <w:r w:rsidRPr="00A10929">
        <w:t xml:space="preserve"> by a serum </w:t>
      </w:r>
      <w:r w:rsidRPr="00A10929" w:rsidR="00E23343">
        <w:t xml:space="preserve">specimen reactive for </w:t>
      </w:r>
      <w:r w:rsidRPr="00A10929">
        <w:t xml:space="preserve">treponemal </w:t>
      </w:r>
      <w:r w:rsidRPr="00A10929" w:rsidR="00EA0D15">
        <w:t>antibodies</w:t>
      </w:r>
      <w:r w:rsidRPr="00A10929" w:rsidR="00E23343">
        <w:t xml:space="preserve"> (i.e., </w:t>
      </w:r>
      <w:r w:rsidRPr="00A10929" w:rsidR="00EB2DE2">
        <w:t>MIA, TPPA)</w:t>
      </w:r>
      <w:r w:rsidRPr="00A10929">
        <w:t>.</w:t>
      </w:r>
    </w:p>
    <w:p w:rsidRPr="00A10929" w:rsidR="00B73C14" w:rsidP="0067188A" w:rsidRDefault="00B73C14" w14:paraId="10104C49" w14:textId="77777777">
      <w:pPr>
        <w:pStyle w:val="AZListParagraph"/>
        <w:numPr>
          <w:ilvl w:val="1"/>
          <w:numId w:val="9"/>
        </w:numPr>
      </w:pPr>
      <w:r w:rsidRPr="00A10929">
        <w:t xml:space="preserve">If a serum </w:t>
      </w:r>
      <w:r w:rsidRPr="00A10929" w:rsidR="00E23343">
        <w:t xml:space="preserve">specimen </w:t>
      </w:r>
      <w:r w:rsidRPr="00A10929">
        <w:t xml:space="preserve">was previously tested by the Michigan Department of </w:t>
      </w:r>
      <w:r w:rsidRPr="00A10929" w:rsidR="00802E9B">
        <w:t>Health &amp; Human Services</w:t>
      </w:r>
      <w:r w:rsidRPr="00A10929">
        <w:t xml:space="preserve"> (MD</w:t>
      </w:r>
      <w:r w:rsidRPr="00A10929" w:rsidR="00802E9B">
        <w:t>HHS</w:t>
      </w:r>
      <w:r w:rsidRPr="00A10929">
        <w:t>)</w:t>
      </w:r>
      <w:r w:rsidRPr="00A10929" w:rsidR="00802E9B">
        <w:t>,</w:t>
      </w:r>
      <w:r w:rsidRPr="00A10929">
        <w:t xml:space="preserve"> </w:t>
      </w:r>
      <w:r w:rsidRPr="00A10929" w:rsidR="00E23343">
        <w:t xml:space="preserve">please provide the </w:t>
      </w:r>
      <w:r w:rsidRPr="00A10929">
        <w:t>MD</w:t>
      </w:r>
      <w:r w:rsidRPr="00A10929" w:rsidR="00802E9B">
        <w:t>HHS</w:t>
      </w:r>
      <w:r w:rsidRPr="00A10929">
        <w:t xml:space="preserve"> </w:t>
      </w:r>
      <w:r w:rsidRPr="00A10929" w:rsidR="00E23343">
        <w:t xml:space="preserve">specimen </w:t>
      </w:r>
      <w:r w:rsidRPr="00A10929">
        <w:t>number</w:t>
      </w:r>
      <w:r w:rsidRPr="00A10929" w:rsidR="00E23343">
        <w:t xml:space="preserve"> </w:t>
      </w:r>
      <w:r w:rsidRPr="00A10929">
        <w:t xml:space="preserve">on the test requisition form. </w:t>
      </w:r>
    </w:p>
    <w:p w:rsidRPr="00A10929" w:rsidR="00B73C14" w:rsidP="0067188A" w:rsidRDefault="00B73C14" w14:paraId="4F24DCD3" w14:textId="2EE76C75">
      <w:pPr>
        <w:pStyle w:val="AZListParagraph"/>
        <w:numPr>
          <w:ilvl w:val="1"/>
          <w:numId w:val="9"/>
        </w:numPr>
      </w:pPr>
      <w:r w:rsidRPr="00A10929">
        <w:t xml:space="preserve">If treponemal </w:t>
      </w:r>
      <w:r w:rsidRPr="00A10929" w:rsidR="00E23343">
        <w:t xml:space="preserve">antibody </w:t>
      </w:r>
      <w:r w:rsidRPr="00A10929">
        <w:t>test</w:t>
      </w:r>
      <w:r w:rsidRPr="00A10929" w:rsidR="00E23343">
        <w:t xml:space="preserve">ing was </w:t>
      </w:r>
      <w:r w:rsidRPr="00A10929">
        <w:t xml:space="preserve">performed </w:t>
      </w:r>
      <w:r w:rsidRPr="00A10929" w:rsidR="00E23343">
        <w:t>at another laboratory</w:t>
      </w:r>
      <w:r w:rsidRPr="00A10929" w:rsidR="007154DD">
        <w:t>,</w:t>
      </w:r>
      <w:r w:rsidRPr="00A10929">
        <w:t xml:space="preserve"> </w:t>
      </w:r>
      <w:r w:rsidRPr="00A10929" w:rsidR="00E23343">
        <w:t xml:space="preserve">please provide the test date and </w:t>
      </w:r>
      <w:r w:rsidRPr="00A10929">
        <w:t>result</w:t>
      </w:r>
      <w:r w:rsidRPr="00A10929" w:rsidR="00E23343">
        <w:t>s</w:t>
      </w:r>
      <w:r w:rsidRPr="00A10929">
        <w:t xml:space="preserve"> </w:t>
      </w:r>
      <w:r w:rsidRPr="00A10929" w:rsidR="00E23343">
        <w:t>o</w:t>
      </w:r>
      <w:r w:rsidRPr="00A10929">
        <w:t xml:space="preserve">n </w:t>
      </w:r>
      <w:r w:rsidRPr="00A10929" w:rsidR="00E23343">
        <w:t>the test requisition form</w:t>
      </w:r>
      <w:r w:rsidRPr="00A10929">
        <w:t>.</w:t>
      </w:r>
    </w:p>
    <w:p w:rsidRPr="00A10929" w:rsidR="002361C4" w:rsidP="0067188A" w:rsidRDefault="00B73C14" w14:paraId="1234CA4B" w14:textId="4DB71C58">
      <w:pPr>
        <w:pStyle w:val="AZListParagraph"/>
      </w:pPr>
      <w:r w:rsidRPr="00A10929">
        <w:t xml:space="preserve">CSF specimens not accompanied by serum will be stored for 90 days. If </w:t>
      </w:r>
      <w:r w:rsidRPr="00A10929" w:rsidR="00E23343">
        <w:t xml:space="preserve">a </w:t>
      </w:r>
      <w:r w:rsidRPr="00A10929">
        <w:t xml:space="preserve">serum specimen </w:t>
      </w:r>
      <w:r w:rsidRPr="00A10929" w:rsidR="00E23343">
        <w:t xml:space="preserve">and </w:t>
      </w:r>
      <w:r w:rsidRPr="00A10929">
        <w:t xml:space="preserve">test request form is not received </w:t>
      </w:r>
      <w:r w:rsidRPr="00A10929" w:rsidR="00E23343">
        <w:t>in a timely manner</w:t>
      </w:r>
      <w:r w:rsidRPr="00A10929">
        <w:t xml:space="preserve">, the </w:t>
      </w:r>
      <w:r w:rsidRPr="00A10929" w:rsidR="002361C4">
        <w:t xml:space="preserve">VDRL test </w:t>
      </w:r>
      <w:r w:rsidRPr="00A10929">
        <w:t xml:space="preserve">will be </w:t>
      </w:r>
      <w:r w:rsidRPr="00A10929" w:rsidR="00E23343">
        <w:t xml:space="preserve">reported as </w:t>
      </w:r>
      <w:r w:rsidRPr="00A10929" w:rsidR="009E1D9A">
        <w:t>Unsatisfactory,</w:t>
      </w:r>
      <w:r w:rsidRPr="00A10929" w:rsidR="00E23343">
        <w:t xml:space="preserve"> and</w:t>
      </w:r>
      <w:r w:rsidRPr="00A10929" w:rsidR="002361C4">
        <w:t xml:space="preserve"> the specimen </w:t>
      </w:r>
      <w:r w:rsidRPr="00A10929">
        <w:t>discarded</w:t>
      </w:r>
      <w:r w:rsidRPr="00A10929" w:rsidR="002361C4">
        <w:t>.</w:t>
      </w:r>
    </w:p>
    <w:p w:rsidR="00C938E6" w:rsidP="0067188A" w:rsidRDefault="00C0500D" w14:paraId="4C5CD175" w14:textId="77777777">
      <w:pPr>
        <w:pStyle w:val="AZHeading2"/>
      </w:pPr>
      <w:r w:rsidRPr="00A10929">
        <w:t>ALIASES:</w:t>
      </w:r>
      <w:r w:rsidRPr="00A10929" w:rsidR="00B73C14">
        <w:t xml:space="preserve"> </w:t>
      </w:r>
    </w:p>
    <w:p w:rsidR="00EA0D15" w:rsidP="0067188A" w:rsidRDefault="00EA0D15" w14:paraId="0E416036" w14:textId="4F1417E6">
      <w:pPr>
        <w:pStyle w:val="AZNormalBody"/>
      </w:pPr>
      <w:r w:rsidRPr="00A10929">
        <w:t>VDRL, VDRL-CS</w:t>
      </w:r>
      <w:r w:rsidR="00C938E6">
        <w:t>F.</w:t>
      </w:r>
    </w:p>
    <w:p w:rsidRPr="00C938E6" w:rsidR="00C0500D" w:rsidP="00461151" w:rsidRDefault="00C0500D" w14:paraId="7D14BD99" w14:textId="77777777">
      <w:pPr>
        <w:rPr>
          <w:color w:val="0066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Pr="00C938E6" w:rsidR="00C0500D" w:rsidSect="008F3DDB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E07" w:rsidRDefault="00AE1E07" w14:paraId="78F97B1B" w14:textId="77777777">
      <w:r>
        <w:separator/>
      </w:r>
    </w:p>
  </w:endnote>
  <w:endnote w:type="continuationSeparator" w:id="0">
    <w:p w:rsidR="00AE1E07" w:rsidRDefault="00AE1E07" w14:paraId="687516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F3DDB" w:rsidR="00802E9B" w:rsidP="008F3DDB" w:rsidRDefault="00802E9B" w14:paraId="32602270" w14:textId="687EF92F">
    <w:pPr>
      <w:pStyle w:val="Footer"/>
      <w:rPr>
        <w:rFonts w:ascii="Arial" w:hAnsi="Arial" w:cs="Arial"/>
      </w:rPr>
    </w:pPr>
    <w:r w:rsidRPr="008F3DDB">
      <w:rPr>
        <w:rFonts w:ascii="Arial" w:hAnsi="Arial" w:cs="Arial"/>
      </w:rPr>
      <w:t>AZ.073</w:t>
    </w:r>
    <w:r w:rsidRPr="008F3DDB" w:rsidR="00A10929">
      <w:rPr>
        <w:rFonts w:ascii="Arial" w:hAnsi="Arial" w:cs="Arial"/>
      </w:rPr>
      <w:tab/>
    </w:r>
    <w:r w:rsidRPr="008F3DDB" w:rsidR="00A10929">
      <w:rPr>
        <w:rFonts w:ascii="Arial" w:hAnsi="Arial" w:cs="Arial"/>
      </w:rPr>
      <w:t xml:space="preserve">Page </w:t>
    </w:r>
    <w:r w:rsidRPr="008F3DDB" w:rsidR="00A10929">
      <w:rPr>
        <w:rFonts w:ascii="Arial" w:hAnsi="Arial" w:cs="Arial"/>
        <w:b/>
        <w:bCs/>
      </w:rPr>
      <w:fldChar w:fldCharType="begin"/>
    </w:r>
    <w:r w:rsidRPr="008F3DDB" w:rsidR="00A10929">
      <w:rPr>
        <w:rFonts w:ascii="Arial" w:hAnsi="Arial" w:cs="Arial"/>
        <w:b/>
        <w:bCs/>
      </w:rPr>
      <w:instrText xml:space="preserve"> PAGE  \* Arabic  \* MERGEFORMAT </w:instrText>
    </w:r>
    <w:r w:rsidRPr="008F3DDB" w:rsidR="00A10929">
      <w:rPr>
        <w:rFonts w:ascii="Arial" w:hAnsi="Arial" w:cs="Arial"/>
        <w:b/>
        <w:bCs/>
      </w:rPr>
      <w:fldChar w:fldCharType="separate"/>
    </w:r>
    <w:r w:rsidRPr="008F3DDB" w:rsidR="00A10929">
      <w:rPr>
        <w:rFonts w:ascii="Arial" w:hAnsi="Arial" w:cs="Arial"/>
        <w:b/>
        <w:bCs/>
        <w:noProof/>
      </w:rPr>
      <w:t>1</w:t>
    </w:r>
    <w:r w:rsidRPr="008F3DDB" w:rsidR="00A10929">
      <w:rPr>
        <w:rFonts w:ascii="Arial" w:hAnsi="Arial" w:cs="Arial"/>
        <w:b/>
        <w:bCs/>
      </w:rPr>
      <w:fldChar w:fldCharType="end"/>
    </w:r>
    <w:r w:rsidRPr="008F3DDB" w:rsidR="00A10929">
      <w:rPr>
        <w:rFonts w:ascii="Arial" w:hAnsi="Arial" w:cs="Arial"/>
      </w:rPr>
      <w:t xml:space="preserve"> of </w:t>
    </w:r>
    <w:r w:rsidRPr="008F3DDB" w:rsidR="00A10929">
      <w:rPr>
        <w:rFonts w:ascii="Arial" w:hAnsi="Arial" w:cs="Arial"/>
        <w:b/>
        <w:bCs/>
      </w:rPr>
      <w:fldChar w:fldCharType="begin"/>
    </w:r>
    <w:r w:rsidRPr="008F3DDB" w:rsidR="00A10929">
      <w:rPr>
        <w:rFonts w:ascii="Arial" w:hAnsi="Arial" w:cs="Arial"/>
        <w:b/>
        <w:bCs/>
      </w:rPr>
      <w:instrText xml:space="preserve"> NUMPAGES  \* Arabic  \* MERGEFORMAT </w:instrText>
    </w:r>
    <w:r w:rsidRPr="008F3DDB" w:rsidR="00A10929">
      <w:rPr>
        <w:rFonts w:ascii="Arial" w:hAnsi="Arial" w:cs="Arial"/>
        <w:b/>
        <w:bCs/>
      </w:rPr>
      <w:fldChar w:fldCharType="separate"/>
    </w:r>
    <w:r w:rsidRPr="008F3DDB" w:rsidR="00A10929">
      <w:rPr>
        <w:rFonts w:ascii="Arial" w:hAnsi="Arial" w:cs="Arial"/>
        <w:b/>
        <w:bCs/>
        <w:noProof/>
      </w:rPr>
      <w:t>2</w:t>
    </w:r>
    <w:r w:rsidRPr="008F3DDB" w:rsidR="00A10929">
      <w:rPr>
        <w:rFonts w:ascii="Arial" w:hAnsi="Arial" w:cs="Arial"/>
        <w:b/>
        <w:bCs/>
      </w:rPr>
      <w:fldChar w:fldCharType="end"/>
    </w:r>
    <w:r w:rsidRPr="008F3DDB" w:rsidR="00A10929">
      <w:rPr>
        <w:rFonts w:ascii="Arial" w:hAnsi="Arial" w:cs="Arial"/>
        <w:b/>
        <w:bCs/>
      </w:rPr>
      <w:tab/>
    </w:r>
    <w:r w:rsidRPr="008F3DDB" w:rsidR="00A10929">
      <w:rPr>
        <w:rFonts w:ascii="Arial" w:hAnsi="Arial" w:cs="Arial"/>
      </w:rPr>
      <w:t>Rev</w:t>
    </w:r>
    <w:r w:rsidRPr="008F3DDB" w:rsidR="002D677D">
      <w:rPr>
        <w:rFonts w:ascii="Arial" w:hAnsi="Arial" w:cs="Arial"/>
      </w:rPr>
      <w:t xml:space="preserve"> </w:t>
    </w:r>
    <w:r w:rsidRPr="008F3DDB" w:rsidR="007E0EF1">
      <w:rPr>
        <w:rFonts w:ascii="Arial" w:hAnsi="Arial" w:cs="Arial"/>
      </w:rPr>
      <w:t>01/29/2025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E07" w:rsidRDefault="00AE1E07" w14:paraId="5237C5C9" w14:textId="77777777">
      <w:r>
        <w:separator/>
      </w:r>
    </w:p>
  </w:footnote>
  <w:footnote w:type="continuationSeparator" w:id="0">
    <w:p w:rsidR="00AE1E07" w:rsidRDefault="00AE1E07" w14:paraId="1180DB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321C2"/>
    <w:multiLevelType w:val="hybridMultilevel"/>
    <w:tmpl w:val="697E9F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411BC"/>
    <w:multiLevelType w:val="hybridMultilevel"/>
    <w:tmpl w:val="1D12B7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B315C83"/>
    <w:multiLevelType w:val="hybridMultilevel"/>
    <w:tmpl w:val="C722F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13E3D"/>
    <w:multiLevelType w:val="hybridMultilevel"/>
    <w:tmpl w:val="FB72EB1E"/>
    <w:lvl w:ilvl="0" w:tplc="8F0E81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Times New Roman"/>
      </w:rPr>
    </w:lvl>
    <w:lvl w:ilvl="1" w:tplc="FA369F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eastAsia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2A717A"/>
    <w:multiLevelType w:val="hybridMultilevel"/>
    <w:tmpl w:val="34504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7A0F8A"/>
    <w:multiLevelType w:val="hybridMultilevel"/>
    <w:tmpl w:val="A09E57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0D10AD"/>
    <w:multiLevelType w:val="hybridMultilevel"/>
    <w:tmpl w:val="D30CF8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EE1A28"/>
    <w:multiLevelType w:val="hybridMultilevel"/>
    <w:tmpl w:val="6B1A5C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3447287">
    <w:abstractNumId w:val="4"/>
  </w:num>
  <w:num w:numId="2" w16cid:durableId="580452419">
    <w:abstractNumId w:val="5"/>
  </w:num>
  <w:num w:numId="3" w16cid:durableId="955062774">
    <w:abstractNumId w:val="8"/>
  </w:num>
  <w:num w:numId="4" w16cid:durableId="1018198159">
    <w:abstractNumId w:val="11"/>
  </w:num>
  <w:num w:numId="5" w16cid:durableId="94054879">
    <w:abstractNumId w:val="2"/>
  </w:num>
  <w:num w:numId="6" w16cid:durableId="1167358767">
    <w:abstractNumId w:val="1"/>
  </w:num>
  <w:num w:numId="7" w16cid:durableId="1033700062">
    <w:abstractNumId w:val="9"/>
  </w:num>
  <w:num w:numId="8" w16cid:durableId="276103691">
    <w:abstractNumId w:val="14"/>
  </w:num>
  <w:num w:numId="9" w16cid:durableId="1277251976">
    <w:abstractNumId w:val="0"/>
  </w:num>
  <w:num w:numId="10" w16cid:durableId="793408460">
    <w:abstractNumId w:val="3"/>
  </w:num>
  <w:num w:numId="11" w16cid:durableId="1037782208">
    <w:abstractNumId w:val="6"/>
  </w:num>
  <w:num w:numId="12" w16cid:durableId="368186625">
    <w:abstractNumId w:val="13"/>
  </w:num>
  <w:num w:numId="13" w16cid:durableId="1150243573">
    <w:abstractNumId w:val="10"/>
  </w:num>
  <w:num w:numId="14" w16cid:durableId="1876379661">
    <w:abstractNumId w:val="12"/>
  </w:num>
  <w:num w:numId="15" w16cid:durableId="211539508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05418"/>
    <w:rsid w:val="000C11F7"/>
    <w:rsid w:val="0012074D"/>
    <w:rsid w:val="00132712"/>
    <w:rsid w:val="00152DE5"/>
    <w:rsid w:val="00180593"/>
    <w:rsid w:val="00195C38"/>
    <w:rsid w:val="001963A3"/>
    <w:rsid w:val="00212252"/>
    <w:rsid w:val="00216309"/>
    <w:rsid w:val="0021630B"/>
    <w:rsid w:val="002361C4"/>
    <w:rsid w:val="0025708E"/>
    <w:rsid w:val="0026190F"/>
    <w:rsid w:val="002641F7"/>
    <w:rsid w:val="002D677D"/>
    <w:rsid w:val="00311DB4"/>
    <w:rsid w:val="0042023B"/>
    <w:rsid w:val="004469F4"/>
    <w:rsid w:val="00450581"/>
    <w:rsid w:val="00454E6F"/>
    <w:rsid w:val="00461151"/>
    <w:rsid w:val="00471BEF"/>
    <w:rsid w:val="0049563C"/>
    <w:rsid w:val="004B545E"/>
    <w:rsid w:val="004C46E5"/>
    <w:rsid w:val="004E4A7D"/>
    <w:rsid w:val="0055092B"/>
    <w:rsid w:val="00555E2D"/>
    <w:rsid w:val="00584E1C"/>
    <w:rsid w:val="0059106B"/>
    <w:rsid w:val="005A218F"/>
    <w:rsid w:val="005D60E7"/>
    <w:rsid w:val="005E774F"/>
    <w:rsid w:val="005F42B6"/>
    <w:rsid w:val="00626F41"/>
    <w:rsid w:val="0067188A"/>
    <w:rsid w:val="00680D63"/>
    <w:rsid w:val="006D1E1F"/>
    <w:rsid w:val="006E520C"/>
    <w:rsid w:val="007050AF"/>
    <w:rsid w:val="00711218"/>
    <w:rsid w:val="007124E7"/>
    <w:rsid w:val="00712751"/>
    <w:rsid w:val="007154DD"/>
    <w:rsid w:val="007C54F1"/>
    <w:rsid w:val="007E0EF1"/>
    <w:rsid w:val="00802E9B"/>
    <w:rsid w:val="00825A74"/>
    <w:rsid w:val="00862E52"/>
    <w:rsid w:val="00897FD1"/>
    <w:rsid w:val="008A09CA"/>
    <w:rsid w:val="008A7DE4"/>
    <w:rsid w:val="008B620E"/>
    <w:rsid w:val="008C7B98"/>
    <w:rsid w:val="008F3DDB"/>
    <w:rsid w:val="009A1790"/>
    <w:rsid w:val="009E1D9A"/>
    <w:rsid w:val="00A10929"/>
    <w:rsid w:val="00A749E5"/>
    <w:rsid w:val="00A96D73"/>
    <w:rsid w:val="00AE1E07"/>
    <w:rsid w:val="00B15C46"/>
    <w:rsid w:val="00B209CE"/>
    <w:rsid w:val="00B2441F"/>
    <w:rsid w:val="00B73C14"/>
    <w:rsid w:val="00B81DC7"/>
    <w:rsid w:val="00B920DF"/>
    <w:rsid w:val="00BB589E"/>
    <w:rsid w:val="00BC152A"/>
    <w:rsid w:val="00BD2AB7"/>
    <w:rsid w:val="00C0224A"/>
    <w:rsid w:val="00C0500D"/>
    <w:rsid w:val="00C6212A"/>
    <w:rsid w:val="00C938E6"/>
    <w:rsid w:val="00CA68E5"/>
    <w:rsid w:val="00D30AFA"/>
    <w:rsid w:val="00D35A9C"/>
    <w:rsid w:val="00D3626F"/>
    <w:rsid w:val="00D67DD5"/>
    <w:rsid w:val="00D944AA"/>
    <w:rsid w:val="00E23343"/>
    <w:rsid w:val="00E56BB6"/>
    <w:rsid w:val="00E76198"/>
    <w:rsid w:val="00EA0D15"/>
    <w:rsid w:val="00EB2DE2"/>
    <w:rsid w:val="00EC3E7C"/>
    <w:rsid w:val="47C7C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7B751"/>
  <w15:chartTrackingRefBased/>
  <w15:docId w15:val="{E6868455-DABF-4F2A-8F77-92C2B5874C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90F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9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90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190F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rsid w:val="0026190F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uiPriority w:val="99"/>
    <w:semiHidden/>
    <w:unhideWhenUsed/>
    <w:rsid w:val="009E1D9A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6190F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26190F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9563C"/>
    <w:rPr>
      <w:color w:val="96607D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190F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190F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190F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190F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190F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190F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190F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619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190F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190F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619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190F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261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9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190F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6190F"/>
    <w:rPr>
      <w:b/>
      <w:bCs/>
      <w:smallCaps/>
      <w:color w:val="0F4761" w:themeColor="accent1" w:themeShade="BF"/>
      <w:spacing w:val="5"/>
    </w:rPr>
  </w:style>
  <w:style w:type="character" w:styleId="FooterChar" w:customStyle="1">
    <w:name w:val="Footer Char"/>
    <w:basedOn w:val="DefaultParagraphFont"/>
    <w:link w:val="Footer"/>
    <w:uiPriority w:val="99"/>
    <w:rsid w:val="0026190F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AZHeading1" w:customStyle="1">
    <w:name w:val="AZ Heading 1"/>
    <w:basedOn w:val="Heading1"/>
    <w:link w:val="AZHeading1Char"/>
    <w:qFormat/>
    <w:rsid w:val="0026190F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26190F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26190F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26190F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26190F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26190F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26190F"/>
    <w:pPr>
      <w:numPr>
        <w:numId w:val="9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ichigan.gov/mdhhs/doing-business/providers/labservices/labquality/specimen-submission-guidelines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2e0b4bdfdad9439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AZ.073 Syphilis Antibody Assay for CSF</dc:title>
  <dc:subject/>
  <dc:creator>Administrator</dc:creator>
  <keywords/>
  <dc:description>AZ.073 Syphilis Antibody Assay for CSF (VDRL-CSF)</dc:description>
  <lastModifiedBy>Ribeiro, Bruno (DHHS-Contractor)</lastModifiedBy>
  <revision>4</revision>
  <lastPrinted>2008-12-17T17:51:00.0000000Z</lastPrinted>
  <dcterms:created xsi:type="dcterms:W3CDTF">2026-05-08T15:58:00.0000000Z</dcterms:created>
  <dcterms:modified xsi:type="dcterms:W3CDTF">2026-05-18T16:34:18.4365282Z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2021-11-01T15:57:51Z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7a842125-bfb9-4b80-a7e8-4d7f76f6ea0d</vt:lpwstr>
  </property>
  <property fmtid="{D5CDD505-2E9C-101B-9397-08002B2CF9AE}" pid="8" name="MSIP_Label_3a2fed65-62e7-46ea-af74-187e0c17143a_ContentBits">
    <vt:lpwstr>0</vt:lpwstr>
  </property>
</Properties>
</file>