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7FC1" w:rsidP="00CD1D49" w:rsidRDefault="00A17FC1" w14:paraId="51D399E0" w14:textId="77777777">
      <w:pPr>
        <w:pStyle w:val="AZNormalTitle"/>
      </w:pPr>
      <w:r w:rsidRPr="000D07C1">
        <w:t>Michigan Department of Health and Human Services</w:t>
      </w:r>
    </w:p>
    <w:p w:rsidRPr="00A17FC1" w:rsidR="00A17FC1" w:rsidP="00CD1D49" w:rsidRDefault="00A17FC1" w14:paraId="79A6F2CE" w14:textId="1E0FAA51">
      <w:pPr>
        <w:pStyle w:val="AZNormalTitle"/>
      </w:pPr>
      <w:r w:rsidRPr="000D07C1">
        <w:t>Bureau of Laboratories</w:t>
      </w:r>
    </w:p>
    <w:p w:rsidR="00461151" w:rsidP="00CD1D49" w:rsidRDefault="00F04AB8" w14:paraId="06CA97EC" w14:textId="1DF07B32">
      <w:pPr>
        <w:pStyle w:val="AZHeading1"/>
      </w:pPr>
      <w:r>
        <w:t xml:space="preserve">AZ.071 </w:t>
      </w:r>
      <w:r w:rsidRPr="00A17FC1" w:rsidR="005A398E">
        <w:t xml:space="preserve">Syphilis Antibody </w:t>
      </w:r>
      <w:r w:rsidRPr="00A17FC1" w:rsidR="00EA6301">
        <w:t xml:space="preserve">Determination </w:t>
      </w:r>
      <w:r w:rsidRPr="00A17FC1" w:rsidR="005A398E">
        <w:t>(TP-PA)</w:t>
      </w:r>
    </w:p>
    <w:p w:rsidRPr="00A17FC1" w:rsidR="00A17FC1" w:rsidP="00CD1D49" w:rsidRDefault="00A17FC1" w14:paraId="09B7DC6F" w14:textId="33DC5259">
      <w:pPr>
        <w:pStyle w:val="AZNormalTitle"/>
      </w:pPr>
      <w:r w:rsidRPr="000D07C1">
        <w:t>Rev 0</w:t>
      </w:r>
      <w:r>
        <w:t>1</w:t>
      </w:r>
      <w:r w:rsidRPr="000D07C1">
        <w:t>/</w:t>
      </w:r>
      <w:r>
        <w:t>29</w:t>
      </w:r>
      <w:r w:rsidRPr="000D07C1">
        <w:t>/2025</w:t>
      </w:r>
    </w:p>
    <w:p w:rsidR="00A17FC1" w:rsidP="00CD1D49" w:rsidRDefault="00C0500D" w14:paraId="630CB4DF" w14:textId="505266EB">
      <w:pPr>
        <w:pStyle w:val="AZHeading2"/>
      </w:pPr>
      <w:r w:rsidRPr="00A17FC1">
        <w:t>ANALYTES TESTED:</w:t>
      </w:r>
    </w:p>
    <w:p w:rsidRPr="00AB44AC" w:rsidR="00C0500D" w:rsidP="00CD1D49" w:rsidRDefault="00162BAB" w14:paraId="2C57D3E8" w14:textId="2A51F884">
      <w:pPr>
        <w:pStyle w:val="AZNormalBody"/>
      </w:pPr>
      <w:r w:rsidRPr="00AB44AC">
        <w:rPr>
          <w:i/>
        </w:rPr>
        <w:t>Treponema pallidum</w:t>
      </w:r>
      <w:r w:rsidRPr="00AB44AC">
        <w:t xml:space="preserve"> (syphilis) antibod</w:t>
      </w:r>
      <w:r w:rsidRPr="00AB44AC" w:rsidR="00953FE2">
        <w:t>ies</w:t>
      </w:r>
      <w:r w:rsidRPr="00AB44AC">
        <w:t>.</w:t>
      </w:r>
    </w:p>
    <w:p w:rsidR="00A17FC1" w:rsidP="00CD1D49" w:rsidRDefault="00461151" w14:paraId="116E544E" w14:textId="77777777">
      <w:pPr>
        <w:pStyle w:val="AZHeading2"/>
      </w:pPr>
      <w:r w:rsidRPr="00AB44AC">
        <w:t>USE OF TEST:</w:t>
      </w:r>
      <w:r w:rsidRPr="00AB44AC" w:rsidR="001E5AB3">
        <w:t xml:space="preserve"> </w:t>
      </w:r>
      <w:r w:rsidRPr="00AB44AC" w:rsidR="00162BAB">
        <w:t xml:space="preserve"> </w:t>
      </w:r>
    </w:p>
    <w:p w:rsidRPr="00AB44AC" w:rsidR="00461151" w:rsidP="00CD1D49" w:rsidRDefault="006E1E58" w14:paraId="1C88A1BF" w14:textId="3619C67A">
      <w:pPr>
        <w:pStyle w:val="AZNormalBody"/>
      </w:pPr>
      <w:r w:rsidRPr="00AB44AC">
        <w:t xml:space="preserve">The </w:t>
      </w:r>
      <w:r w:rsidRPr="00AB44AC">
        <w:rPr>
          <w:i/>
        </w:rPr>
        <w:t>T</w:t>
      </w:r>
      <w:r w:rsidRPr="00AB44AC" w:rsidR="003525DD">
        <w:rPr>
          <w:i/>
        </w:rPr>
        <w:t xml:space="preserve">reponema </w:t>
      </w:r>
      <w:proofErr w:type="gramStart"/>
      <w:r w:rsidR="00A17FC1">
        <w:rPr>
          <w:i/>
        </w:rPr>
        <w:t>p</w:t>
      </w:r>
      <w:r w:rsidRPr="00AB44AC" w:rsidR="00A17FC1">
        <w:rPr>
          <w:i/>
        </w:rPr>
        <w:t>allidum</w:t>
      </w:r>
      <w:proofErr w:type="gramEnd"/>
      <w:r w:rsidRPr="00AB44AC" w:rsidR="003525DD">
        <w:t xml:space="preserve"> </w:t>
      </w:r>
      <w:r w:rsidRPr="00AB44AC" w:rsidR="00A50A19">
        <w:t>P</w:t>
      </w:r>
      <w:r w:rsidRPr="00AB44AC" w:rsidR="003525DD">
        <w:t xml:space="preserve">article </w:t>
      </w:r>
      <w:r w:rsidRPr="00AB44AC" w:rsidR="00A50A19">
        <w:t>A</w:t>
      </w:r>
      <w:r w:rsidRPr="00AB44AC" w:rsidR="003525DD">
        <w:t>gglutination (T</w:t>
      </w:r>
      <w:r w:rsidRPr="00AB44AC">
        <w:t>P-PA</w:t>
      </w:r>
      <w:r w:rsidRPr="00AB44AC" w:rsidR="003525DD">
        <w:t>)</w:t>
      </w:r>
      <w:r w:rsidRPr="00AB44AC">
        <w:t xml:space="preserve"> </w:t>
      </w:r>
      <w:r w:rsidRPr="00AB44AC" w:rsidR="00A50A19">
        <w:t xml:space="preserve">test </w:t>
      </w:r>
      <w:r w:rsidRPr="00AB44AC">
        <w:t xml:space="preserve">is a qualitative gelatin particle agglutination assay </w:t>
      </w:r>
      <w:r w:rsidRPr="00AB44AC" w:rsidR="00162BAB">
        <w:t xml:space="preserve">used </w:t>
      </w:r>
      <w:r w:rsidRPr="00AB44AC">
        <w:t xml:space="preserve">for the detection of </w:t>
      </w:r>
      <w:r w:rsidRPr="00AB44AC">
        <w:rPr>
          <w:i/>
          <w:iCs/>
        </w:rPr>
        <w:t>Treponema pallidum</w:t>
      </w:r>
      <w:r w:rsidRPr="00AB44AC">
        <w:t xml:space="preserve"> antibodies in human sera. </w:t>
      </w:r>
      <w:r w:rsidRPr="00AB44AC" w:rsidR="00054C39">
        <w:t xml:space="preserve">This </w:t>
      </w:r>
      <w:r w:rsidRPr="00AB44AC" w:rsidR="000E43C5">
        <w:t xml:space="preserve">supplemental </w:t>
      </w:r>
      <w:r w:rsidRPr="00AB44AC" w:rsidR="00054C39">
        <w:t xml:space="preserve">assay is performed on all </w:t>
      </w:r>
      <w:r w:rsidRPr="00AB44AC" w:rsidR="00BB013B">
        <w:t xml:space="preserve">reactive or equivocal </w:t>
      </w:r>
      <w:r w:rsidRPr="00AB44AC" w:rsidR="00013B9D">
        <w:t xml:space="preserve">Syphilis </w:t>
      </w:r>
      <w:r w:rsidRPr="00AB44AC" w:rsidR="000E43C5">
        <w:t>Total</w:t>
      </w:r>
      <w:r w:rsidRPr="00AB44AC" w:rsidR="00473B66">
        <w:t xml:space="preserve"> IgG/IgM </w:t>
      </w:r>
      <w:r w:rsidRPr="00AB44AC" w:rsidR="00B8181D">
        <w:t>Multiplex</w:t>
      </w:r>
      <w:r w:rsidRPr="00AB44AC" w:rsidR="00DC29B7">
        <w:t xml:space="preserve"> Flow</w:t>
      </w:r>
      <w:r w:rsidRPr="00AB44AC" w:rsidR="00B8181D">
        <w:t xml:space="preserve"> Immuno</w:t>
      </w:r>
      <w:r w:rsidRPr="00AB44AC" w:rsidR="000D72DB">
        <w:t>a</w:t>
      </w:r>
      <w:r w:rsidRPr="00AB44AC" w:rsidR="00B8181D">
        <w:t>ssay (MIA)</w:t>
      </w:r>
      <w:r w:rsidRPr="00AB44AC" w:rsidR="00BB013B">
        <w:t xml:space="preserve">/Nonreactive </w:t>
      </w:r>
      <w:r w:rsidRPr="00AB44AC" w:rsidR="00105806">
        <w:t>Rapid Plasma Reagin (</w:t>
      </w:r>
      <w:r w:rsidRPr="00AB44AC" w:rsidR="00A50A19">
        <w:t>RPR</w:t>
      </w:r>
      <w:r w:rsidRPr="00AB44AC" w:rsidR="00105806">
        <w:t>)</w:t>
      </w:r>
      <w:r w:rsidRPr="00AB44AC" w:rsidR="00B8181D">
        <w:t xml:space="preserve"> </w:t>
      </w:r>
      <w:r w:rsidRPr="00AB44AC" w:rsidR="003525DD">
        <w:t>serum specimens</w:t>
      </w:r>
      <w:r w:rsidRPr="00AB44AC" w:rsidR="003E4BEC">
        <w:t xml:space="preserve"> or by </w:t>
      </w:r>
      <w:r w:rsidRPr="00AB44AC" w:rsidR="00BB013B">
        <w:t>submitter request.</w:t>
      </w:r>
    </w:p>
    <w:p w:rsidRPr="00AB44AC" w:rsidR="00461151" w:rsidP="00CD1D49" w:rsidRDefault="00461151" w14:paraId="40B1D016" w14:textId="77777777">
      <w:pPr>
        <w:pStyle w:val="AZHeading2"/>
      </w:pPr>
      <w:r w:rsidRPr="00AB44AC">
        <w:t>SPECIMEN COLLECTION AND SUBMISSION GUIDELINES:</w:t>
      </w:r>
    </w:p>
    <w:p w:rsidR="00A17FC1" w:rsidP="00CD1D49" w:rsidRDefault="00461151" w14:paraId="234C7488" w14:textId="0CF6FC77">
      <w:pPr>
        <w:pStyle w:val="AZListParagraph"/>
        <w:rPr/>
      </w:pPr>
      <w:r w:rsidR="00461151">
        <w:rPr/>
        <w:t>Test Request Form</w:t>
      </w:r>
      <w:r w:rsidR="00A50A19">
        <w:rPr/>
        <w:t xml:space="preserve"> </w:t>
      </w:r>
      <w:hyperlink r:id="Rf7b458e9e2414308">
        <w:r w:rsidRPr="57D08FEE" w:rsidR="00A50A19">
          <w:rPr>
            <w:rStyle w:val="Hyperlink"/>
            <w:color w:val="auto"/>
          </w:rPr>
          <w:t>MDHHS-6084</w:t>
        </w:r>
      </w:hyperlink>
      <w:r w:rsidR="00C7793F">
        <w:rPr/>
        <w:t>.</w:t>
      </w:r>
    </w:p>
    <w:p w:rsidR="00A17FC1" w:rsidP="00CD1D49" w:rsidRDefault="007072CF" w14:paraId="792C7998" w14:textId="7A40238A">
      <w:pPr>
        <w:pStyle w:val="AZListParagraph"/>
        <w:rPr/>
      </w:pPr>
      <w:hyperlink r:id="R3f76765880b34fc2">
        <w:r w:rsidRPr="57D08FEE" w:rsidR="007072CF">
          <w:rPr>
            <w:rStyle w:val="Hyperlink"/>
            <w:color w:val="auto"/>
          </w:rPr>
          <w:t>Serum Collection and Submission</w:t>
        </w:r>
      </w:hyperlink>
      <w:r w:rsidR="00C7793F">
        <w:rPr/>
        <w:t>.</w:t>
      </w:r>
    </w:p>
    <w:p w:rsidR="00A17FC1" w:rsidP="00CD1D49" w:rsidRDefault="004C46E5" w14:paraId="4D912FA6" w14:textId="77777777">
      <w:pPr>
        <w:pStyle w:val="AZListParagraph"/>
      </w:pPr>
      <w:r w:rsidRPr="00AB44AC">
        <w:t xml:space="preserve">Transport Temperature: </w:t>
      </w:r>
      <w:r w:rsidRPr="00AB44AC" w:rsidR="00004AD7">
        <w:t>on frozen cold packs or dry ice</w:t>
      </w:r>
      <w:r w:rsidR="00A7662F">
        <w:t>, (</w:t>
      </w:r>
      <w:r w:rsidRPr="00A17FC1" w:rsidR="00A7662F">
        <w:rPr>
          <w:u w:val="single"/>
        </w:rPr>
        <w:t>&lt;</w:t>
      </w:r>
      <w:r w:rsidR="00A7662F">
        <w:t>8°C).</w:t>
      </w:r>
    </w:p>
    <w:p w:rsidRPr="00AB44AC" w:rsidR="00461151" w:rsidP="00CD1D49" w:rsidRDefault="00DC29B7" w14:paraId="16C1B56F" w14:textId="6B557777">
      <w:pPr>
        <w:pStyle w:val="AZListParagraph"/>
      </w:pPr>
      <w:r w:rsidRPr="00AB44AC">
        <w:t>No special patient preparation is required.</w:t>
      </w:r>
    </w:p>
    <w:p w:rsidRPr="00AB44AC" w:rsidR="00461151" w:rsidP="00CD1D49" w:rsidRDefault="00461151" w14:paraId="205A3393" w14:textId="77777777">
      <w:pPr>
        <w:pStyle w:val="AZHeading2"/>
      </w:pPr>
      <w:r w:rsidRPr="00AB44AC">
        <w:t>SPECIMEN TYPE:</w:t>
      </w:r>
    </w:p>
    <w:p w:rsidR="00A17FC1" w:rsidP="00CD1D49" w:rsidRDefault="00C0500D" w14:paraId="6F3764EC" w14:textId="77777777">
      <w:pPr>
        <w:pStyle w:val="AZListParagraph"/>
      </w:pPr>
      <w:r w:rsidRPr="00AB44AC">
        <w:t>Specimen</w:t>
      </w:r>
      <w:r w:rsidRPr="00AB44AC" w:rsidR="00D944AA">
        <w:t xml:space="preserve"> Required</w:t>
      </w:r>
      <w:r w:rsidRPr="00AB44AC" w:rsidR="00711218">
        <w:t>:</w:t>
      </w:r>
      <w:r w:rsidRPr="00AB44AC" w:rsidR="006E1E58">
        <w:t xml:space="preserve"> Serum</w:t>
      </w:r>
      <w:r w:rsidR="00A17FC1">
        <w:t>.</w:t>
      </w:r>
    </w:p>
    <w:p w:rsidR="00A17FC1" w:rsidP="00CD1D49" w:rsidRDefault="004C46E5" w14:paraId="25765DD8" w14:textId="1C509291">
      <w:pPr>
        <w:pStyle w:val="AZListParagraph"/>
      </w:pPr>
      <w:r w:rsidRPr="00AB44AC">
        <w:t>Minimum Acceptable Volume:</w:t>
      </w:r>
      <w:r w:rsidRPr="00AB44AC" w:rsidR="006E1E58">
        <w:t xml:space="preserve"> 1 m</w:t>
      </w:r>
      <w:r w:rsidR="00A17FC1">
        <w:t>L.</w:t>
      </w:r>
    </w:p>
    <w:p w:rsidR="00A17FC1" w:rsidP="00CD1D49" w:rsidRDefault="00711218" w14:paraId="423C3F2E" w14:textId="5596CB40">
      <w:pPr>
        <w:pStyle w:val="AZListParagraph"/>
      </w:pPr>
      <w:r w:rsidRPr="00AB44AC">
        <w:t>Container:</w:t>
      </w:r>
      <w:r w:rsidR="00A17FC1">
        <w:t xml:space="preserve"> </w:t>
      </w:r>
      <w:r w:rsidRPr="00AB44AC" w:rsidR="006D5AD0">
        <w:t>3 m</w:t>
      </w:r>
      <w:r w:rsidR="00A17FC1">
        <w:t>L</w:t>
      </w:r>
      <w:r w:rsidRPr="00AB44AC" w:rsidR="006D5AD0">
        <w:t xml:space="preserve"> p</w:t>
      </w:r>
      <w:r w:rsidRPr="00AB44AC" w:rsidR="000D72DB">
        <w:t>olypropylene screw capped tube</w:t>
      </w:r>
      <w:r w:rsidRPr="00AB44AC" w:rsidR="00004AD7">
        <w:t xml:space="preserve"> or serum separator tube</w:t>
      </w:r>
      <w:r w:rsidR="00A17FC1">
        <w:t>.</w:t>
      </w:r>
    </w:p>
    <w:p w:rsidRPr="00AB44AC" w:rsidR="00D944AA" w:rsidP="00CD1D49" w:rsidRDefault="00711218" w14:paraId="1F3BF8DE" w14:textId="45D33538">
      <w:pPr>
        <w:pStyle w:val="AZListParagraph"/>
      </w:pPr>
      <w:r w:rsidRPr="00AB44AC">
        <w:t>Shipping Unit:</w:t>
      </w:r>
      <w:r w:rsidRPr="00AB44AC" w:rsidR="006E1E58">
        <w:t xml:space="preserve"> Unit 8</w:t>
      </w:r>
      <w:r w:rsidRPr="00AB44AC" w:rsidR="00A50A19">
        <w:t>A</w:t>
      </w:r>
      <w:r w:rsidR="00A17FC1">
        <w:t>.</w:t>
      </w:r>
    </w:p>
    <w:p w:rsidRPr="00AB44AC" w:rsidR="00D944AA" w:rsidP="00CD1D49" w:rsidRDefault="008A09CA" w14:paraId="5AC70D93" w14:textId="77777777">
      <w:pPr>
        <w:pStyle w:val="AZHeading2"/>
      </w:pPr>
      <w:r w:rsidRPr="00AB44AC">
        <w:t>SPECIMEN REJECTION CRITERIA:</w:t>
      </w:r>
    </w:p>
    <w:p w:rsidR="00A17FC1" w:rsidP="00CD1D49" w:rsidRDefault="00407495" w14:paraId="1E3B9118" w14:textId="77777777">
      <w:pPr>
        <w:pStyle w:val="AZListParagraph"/>
      </w:pPr>
      <w:r w:rsidRPr="00AB44AC">
        <w:t xml:space="preserve">Specimens lacking </w:t>
      </w:r>
      <w:r w:rsidRPr="00AB44AC" w:rsidR="000B0F25">
        <w:t>two u</w:t>
      </w:r>
      <w:r w:rsidRPr="00AB44AC" w:rsidR="006E1E58">
        <w:t>nique patient identifier</w:t>
      </w:r>
      <w:r w:rsidRPr="00AB44AC" w:rsidR="000B0F25">
        <w:t>s (i.e., full name, date of birth)</w:t>
      </w:r>
      <w:r w:rsidRPr="00AB44AC">
        <w:t xml:space="preserve"> will not be tested</w:t>
      </w:r>
      <w:r w:rsidRPr="00AB44AC" w:rsidR="000B0F25">
        <w:t>.</w:t>
      </w:r>
    </w:p>
    <w:p w:rsidR="00A17FC1" w:rsidP="00CD1D49" w:rsidRDefault="00A7662F" w14:paraId="157ED6AD" w14:textId="77777777">
      <w:pPr>
        <w:pStyle w:val="AZListParagraph"/>
      </w:pPr>
      <w:r w:rsidRPr="000F58E2">
        <w:t>Specimens received outside of appropriate transport temperature may not be tested.</w:t>
      </w:r>
    </w:p>
    <w:p w:rsidR="00A17FC1" w:rsidP="00CD1D49" w:rsidRDefault="00A7662F" w14:paraId="60AC6D63" w14:textId="77777777">
      <w:pPr>
        <w:pStyle w:val="AZListParagraph"/>
      </w:pPr>
      <w:r>
        <w:t>Specimens are leaking.</w:t>
      </w:r>
    </w:p>
    <w:p w:rsidRPr="00AB44AC" w:rsidR="00711218" w:rsidP="00CD1D49" w:rsidRDefault="00407495" w14:paraId="0FA87FE4" w14:textId="094FFE97">
      <w:pPr>
        <w:pStyle w:val="AZListParagraph"/>
      </w:pPr>
      <w:r w:rsidRPr="00AB44AC">
        <w:t xml:space="preserve">Plasma, </w:t>
      </w:r>
      <w:r w:rsidRPr="00AB44AC" w:rsidR="00BA5EF0">
        <w:t>lipemic</w:t>
      </w:r>
      <w:r w:rsidRPr="00AB44AC" w:rsidR="00A50A19">
        <w:t>,</w:t>
      </w:r>
      <w:r w:rsidRPr="00AB44AC" w:rsidR="004401D6">
        <w:t xml:space="preserve"> grossly </w:t>
      </w:r>
      <w:r w:rsidRPr="00AB44AC" w:rsidR="00BA5EF0">
        <w:t>hemolyzed</w:t>
      </w:r>
      <w:r w:rsidRPr="00AB44AC" w:rsidR="004401D6">
        <w:t xml:space="preserve">, or contaminated </w:t>
      </w:r>
      <w:r w:rsidRPr="00AB44AC">
        <w:t xml:space="preserve">specimens are unacceptable for testing and will be reported as </w:t>
      </w:r>
      <w:r w:rsidRPr="00A17FC1">
        <w:rPr>
          <w:b/>
          <w:bCs/>
        </w:rPr>
        <w:t>Unsatisfactory</w:t>
      </w:r>
      <w:r w:rsidRPr="00AB44AC">
        <w:t>.</w:t>
      </w:r>
    </w:p>
    <w:p w:rsidRPr="00AB44AC" w:rsidR="00711218" w:rsidP="00CD1D49" w:rsidRDefault="00711218" w14:paraId="4E3EF5FD" w14:textId="77777777">
      <w:pPr>
        <w:pStyle w:val="AZHeading2"/>
      </w:pPr>
      <w:r w:rsidRPr="00AB44AC">
        <w:t>TEST PER</w:t>
      </w:r>
      <w:r w:rsidRPr="00AB44AC" w:rsidR="00D944AA">
        <w:t>F</w:t>
      </w:r>
      <w:r w:rsidRPr="00AB44AC">
        <w:t>ORMED:</w:t>
      </w:r>
    </w:p>
    <w:p w:rsidR="00A17FC1" w:rsidP="00CD1D49" w:rsidRDefault="00D944AA" w14:paraId="4D7CA0D3" w14:textId="4ABA75D3">
      <w:pPr>
        <w:pStyle w:val="AZListParagraph"/>
      </w:pPr>
      <w:r w:rsidRPr="00AB44AC">
        <w:t>Methodology:</w:t>
      </w:r>
      <w:r w:rsidRPr="00AB44AC" w:rsidR="006E1E58">
        <w:t xml:space="preserve"> Microagglutination</w:t>
      </w:r>
      <w:r w:rsidR="00A17FC1">
        <w:t>.</w:t>
      </w:r>
    </w:p>
    <w:p w:rsidR="00A17FC1" w:rsidP="00CD1D49" w:rsidRDefault="00C0500D" w14:paraId="3AE04777" w14:textId="77777777">
      <w:pPr>
        <w:pStyle w:val="AZListParagraph"/>
      </w:pPr>
      <w:r w:rsidRPr="00AB44AC">
        <w:t>Turn</w:t>
      </w:r>
      <w:r w:rsidR="00A17FC1">
        <w:t>a</w:t>
      </w:r>
      <w:r w:rsidRPr="00AB44AC">
        <w:t>round</w:t>
      </w:r>
      <w:r w:rsidRPr="00AB44AC" w:rsidR="00D944AA">
        <w:t xml:space="preserve"> Time:</w:t>
      </w:r>
      <w:r w:rsidRPr="00AB44AC" w:rsidR="006E1E58">
        <w:t xml:space="preserve"> </w:t>
      </w:r>
      <w:r w:rsidRPr="00AB44AC" w:rsidR="004401D6">
        <w:t>2-5</w:t>
      </w:r>
      <w:r w:rsidRPr="00AB44AC" w:rsidR="00BB013B">
        <w:t xml:space="preserve"> </w:t>
      </w:r>
      <w:r w:rsidRPr="00AB44AC" w:rsidR="00A50A19">
        <w:t>days</w:t>
      </w:r>
      <w:r w:rsidRPr="00AB44AC" w:rsidR="004401D6">
        <w:t xml:space="preserve"> unless additional syphilis testing is indicated</w:t>
      </w:r>
      <w:r w:rsidRPr="00AB44AC" w:rsidR="00A50A19">
        <w:t>.</w:t>
      </w:r>
    </w:p>
    <w:p w:rsidRPr="00243845" w:rsidR="00E23020" w:rsidP="00E23020" w:rsidRDefault="00E23020" w14:paraId="647E9C9D" w14:textId="1CF735FD">
      <w:pPr>
        <w:pStyle w:val="AZListParagraph"/>
      </w:pPr>
      <w:r>
        <w:t>Testing is performed at the Bureau of Laboratories, Monday-Wednesday and Fridays.</w:t>
      </w:r>
    </w:p>
    <w:p w:rsidRPr="00AB44AC" w:rsidR="006E1E58" w:rsidP="00CD1D49" w:rsidRDefault="00D944AA" w14:paraId="3D52318A" w14:textId="67A0326C">
      <w:pPr>
        <w:pStyle w:val="AZHeading2"/>
      </w:pPr>
      <w:r w:rsidRPr="00AB44AC">
        <w:t>RESULT INTERPRETATION:</w:t>
      </w:r>
    </w:p>
    <w:p w:rsidRPr="00AB44AC" w:rsidR="003525DD" w:rsidP="00CD1D49" w:rsidRDefault="003525DD" w14:paraId="15435B6B" w14:textId="77777777">
      <w:pPr>
        <w:pStyle w:val="AZListParagraph"/>
      </w:pPr>
      <w:r w:rsidRPr="00AB44AC">
        <w:t>Reactive Result:</w:t>
      </w:r>
    </w:p>
    <w:p w:rsidRPr="00AB44AC" w:rsidR="000F7D06" w:rsidP="00CD1D49" w:rsidRDefault="000F7D06" w14:paraId="5416DB02" w14:textId="77777777">
      <w:pPr>
        <w:pStyle w:val="AZListParagraph"/>
        <w:numPr>
          <w:ilvl w:val="1"/>
          <w:numId w:val="14"/>
        </w:numPr>
      </w:pPr>
      <w:r w:rsidRPr="00AB44AC">
        <w:t xml:space="preserve">Treponemal antibodies </w:t>
      </w:r>
      <w:proofErr w:type="gramStart"/>
      <w:r w:rsidRPr="00AB44AC">
        <w:t>present</w:t>
      </w:r>
      <w:proofErr w:type="gramEnd"/>
      <w:r w:rsidRPr="00AB44AC">
        <w:t>.</w:t>
      </w:r>
    </w:p>
    <w:p w:rsidRPr="00AB44AC" w:rsidR="008C0D08" w:rsidP="00CD1D49" w:rsidRDefault="008C0D08" w14:paraId="2BBE5DE7" w14:textId="4BC3AFA9">
      <w:pPr>
        <w:pStyle w:val="AZListParagraph"/>
        <w:numPr>
          <w:ilvl w:val="1"/>
          <w:numId w:val="14"/>
        </w:numPr>
      </w:pPr>
      <w:r w:rsidRPr="00AB44AC">
        <w:t xml:space="preserve">A reactive result indicates recent or past exposure to </w:t>
      </w:r>
      <w:r w:rsidRPr="00AB44AC">
        <w:rPr>
          <w:i/>
        </w:rPr>
        <w:t>Treponema pallidum</w:t>
      </w:r>
      <w:r w:rsidRPr="00AB44AC">
        <w:t>.</w:t>
      </w:r>
    </w:p>
    <w:p w:rsidRPr="00AB44AC" w:rsidR="003525DD" w:rsidP="00CD1D49" w:rsidRDefault="003525DD" w14:paraId="412536B8" w14:textId="77777777">
      <w:pPr>
        <w:pStyle w:val="AZListParagraph"/>
      </w:pPr>
      <w:r w:rsidRPr="00AB44AC">
        <w:t>Nonreactive Result:</w:t>
      </w:r>
    </w:p>
    <w:p w:rsidR="00A17FC1" w:rsidP="00CD1D49" w:rsidRDefault="00E32A41" w14:paraId="20585FAD" w14:textId="77777777">
      <w:pPr>
        <w:pStyle w:val="AZListParagraph"/>
        <w:numPr>
          <w:ilvl w:val="1"/>
          <w:numId w:val="14"/>
        </w:numPr>
      </w:pPr>
      <w:r w:rsidRPr="00AB44AC">
        <w:t xml:space="preserve">Treponemal antibodies </w:t>
      </w:r>
      <w:proofErr w:type="gramStart"/>
      <w:r w:rsidRPr="00AB44AC">
        <w:t>absent</w:t>
      </w:r>
      <w:proofErr w:type="gramEnd"/>
      <w:r w:rsidRPr="00AB44AC">
        <w:t>.</w:t>
      </w:r>
    </w:p>
    <w:p w:rsidR="00A17FC1" w:rsidP="00CD1D49" w:rsidRDefault="008C0D08" w14:paraId="7D6C383B" w14:textId="77777777">
      <w:pPr>
        <w:pStyle w:val="AZListParagraph"/>
        <w:numPr>
          <w:ilvl w:val="1"/>
          <w:numId w:val="14"/>
        </w:numPr>
      </w:pPr>
      <w:r w:rsidRPr="00AB44AC">
        <w:t xml:space="preserve">A non-reactive result indicates no exposure to </w:t>
      </w:r>
      <w:r w:rsidRPr="00A17FC1">
        <w:rPr>
          <w:i/>
        </w:rPr>
        <w:t>Treponema pallidum</w:t>
      </w:r>
      <w:r w:rsidRPr="00AB44AC">
        <w:t>.</w:t>
      </w:r>
    </w:p>
    <w:p w:rsidRPr="00AB44AC" w:rsidR="00B845F8" w:rsidP="00CD1D49" w:rsidRDefault="00B845F8" w14:paraId="7DDB7FA2" w14:textId="5C50008A">
      <w:pPr>
        <w:pStyle w:val="AZListParagraph"/>
        <w:numPr>
          <w:ilvl w:val="1"/>
          <w:numId w:val="14"/>
        </w:numPr>
      </w:pPr>
      <w:r w:rsidRPr="00AB44AC">
        <w:t xml:space="preserve">Since antibodies may be undetectable in early stages of syphilis, if recent infection is suspected, submit a convalescent specimen in 2-4 weeks. </w:t>
      </w:r>
    </w:p>
    <w:p w:rsidRPr="00AB44AC" w:rsidR="003525DD" w:rsidP="00CD1D49" w:rsidRDefault="003525DD" w14:paraId="68BC5B37" w14:textId="77777777">
      <w:pPr>
        <w:pStyle w:val="AZListParagraph"/>
      </w:pPr>
      <w:r w:rsidRPr="00AB44AC">
        <w:t>Indeterminate or Atypical Result:</w:t>
      </w:r>
    </w:p>
    <w:p w:rsidRPr="00AB44AC" w:rsidR="00B845F8" w:rsidP="00CD1D49" w:rsidRDefault="00EA2C34" w14:paraId="480F2163" w14:textId="177C0B2C">
      <w:pPr>
        <w:pStyle w:val="AZListParagraph"/>
        <w:numPr>
          <w:ilvl w:val="1"/>
          <w:numId w:val="14"/>
        </w:numPr>
      </w:pPr>
      <w:r w:rsidRPr="00AB44AC">
        <w:t>An indeterminate or atypical re</w:t>
      </w:r>
      <w:r w:rsidRPr="00AB44AC" w:rsidR="00604FF1">
        <w:t xml:space="preserve">sult </w:t>
      </w:r>
      <w:r w:rsidRPr="00AB44AC" w:rsidR="00CC312A">
        <w:t xml:space="preserve">indicates the presence of </w:t>
      </w:r>
      <w:r w:rsidRPr="00AB44AC">
        <w:t xml:space="preserve">cross-reacting antibodies. In this situation, </w:t>
      </w:r>
      <w:r w:rsidRPr="00AB44AC" w:rsidR="00B8181D">
        <w:t xml:space="preserve">a second specimen collected 2-4 weeks </w:t>
      </w:r>
      <w:r w:rsidRPr="00AB44AC" w:rsidR="00BB013B">
        <w:t xml:space="preserve">(or one week if patient is pregnant) </w:t>
      </w:r>
      <w:r w:rsidRPr="00AB44AC" w:rsidR="00B8181D">
        <w:t>after the initial specimen wi</w:t>
      </w:r>
      <w:r w:rsidRPr="00AB44AC" w:rsidR="005024A0">
        <w:t>ll be requested for re-testing.</w:t>
      </w:r>
    </w:p>
    <w:p w:rsidR="00A17FC1" w:rsidP="00CD1D49" w:rsidRDefault="00B845F8" w14:paraId="6D4DFEBB" w14:textId="77777777">
      <w:pPr>
        <w:pStyle w:val="AZHeading2"/>
      </w:pPr>
      <w:r w:rsidRPr="00AB44AC">
        <w:t xml:space="preserve">REFERENCE RANGE: </w:t>
      </w:r>
    </w:p>
    <w:p w:rsidRPr="00AB44AC" w:rsidR="003525DD" w:rsidP="00CD1D49" w:rsidRDefault="00B845F8" w14:paraId="6C784344" w14:textId="1A81F54E">
      <w:pPr>
        <w:pStyle w:val="AZNormalBody"/>
      </w:pPr>
      <w:r w:rsidRPr="00AB44AC">
        <w:t>NON-REACTIVE (no antibody detected)</w:t>
      </w:r>
      <w:r w:rsidR="00A17FC1">
        <w:t>.</w:t>
      </w:r>
    </w:p>
    <w:p w:rsidR="00A17FC1" w:rsidP="00CD1D49" w:rsidRDefault="00C0500D" w14:paraId="22088DB4" w14:textId="1E5DFB9F">
      <w:pPr>
        <w:pStyle w:val="AZHeading2"/>
      </w:pPr>
      <w:r w:rsidRPr="00AB44AC">
        <w:t>FEES:</w:t>
      </w:r>
    </w:p>
    <w:p w:rsidRPr="00AB44AC" w:rsidR="00C0500D" w:rsidP="00CD1D49" w:rsidRDefault="00A17FC1" w14:paraId="54046803" w14:textId="7F1E4EA4">
      <w:pPr>
        <w:pStyle w:val="AZNormalBody"/>
      </w:pPr>
      <w:r>
        <w:t>Not Applicable.</w:t>
      </w:r>
    </w:p>
    <w:p w:rsidRPr="00AB44AC" w:rsidR="006E1E58" w:rsidP="00CD1D49" w:rsidRDefault="00D944AA" w14:paraId="481713CE" w14:textId="77777777">
      <w:pPr>
        <w:pStyle w:val="AZHeading2"/>
      </w:pPr>
      <w:r w:rsidRPr="00AB44AC">
        <w:t>NOTES:</w:t>
      </w:r>
    </w:p>
    <w:p w:rsidRPr="00A17FC1" w:rsidR="00A17FC1" w:rsidP="00CD1D49" w:rsidRDefault="000E43C5" w14:paraId="15353D65" w14:textId="77777777">
      <w:pPr>
        <w:pStyle w:val="AZListParagraph"/>
        <w:rPr>
          <w:sz w:val="20"/>
        </w:rPr>
      </w:pPr>
      <w:proofErr w:type="gramStart"/>
      <w:r w:rsidRPr="00AB44AC">
        <w:t>The TP</w:t>
      </w:r>
      <w:proofErr w:type="gramEnd"/>
      <w:r w:rsidRPr="00AB44AC">
        <w:t xml:space="preserve">-PA is usually reactive in </w:t>
      </w:r>
      <w:r w:rsidRPr="00AB44AC" w:rsidR="00A50A19">
        <w:t>patients with</w:t>
      </w:r>
      <w:r w:rsidRPr="00AB44AC">
        <w:t xml:space="preserve"> syphilis infections. Like other treponemal serological tests, a</w:t>
      </w:r>
      <w:r w:rsidRPr="00AB44AC">
        <w:rPr>
          <w:spacing w:val="-8"/>
        </w:rPr>
        <w:t xml:space="preserve"> </w:t>
      </w:r>
      <w:r w:rsidRPr="00AB44AC">
        <w:t>patient</w:t>
      </w:r>
      <w:r w:rsidRPr="00AB44AC">
        <w:rPr>
          <w:spacing w:val="-7"/>
        </w:rPr>
        <w:t xml:space="preserve"> </w:t>
      </w:r>
      <w:r w:rsidRPr="00AB44AC">
        <w:t>with</w:t>
      </w:r>
      <w:r w:rsidRPr="00AB44AC">
        <w:rPr>
          <w:spacing w:val="-7"/>
        </w:rPr>
        <w:t xml:space="preserve"> </w:t>
      </w:r>
      <w:r w:rsidRPr="00AB44AC">
        <w:t>a</w:t>
      </w:r>
      <w:r w:rsidRPr="00AB44AC">
        <w:rPr>
          <w:spacing w:val="-8"/>
        </w:rPr>
        <w:t xml:space="preserve"> TP-PA </w:t>
      </w:r>
      <w:r w:rsidRPr="00AB44AC">
        <w:t>reactive</w:t>
      </w:r>
      <w:r w:rsidRPr="00AB44AC">
        <w:rPr>
          <w:spacing w:val="-8"/>
        </w:rPr>
        <w:t xml:space="preserve"> </w:t>
      </w:r>
      <w:r w:rsidRPr="00AB44AC">
        <w:t>result</w:t>
      </w:r>
      <w:r w:rsidRPr="00AB44AC">
        <w:rPr>
          <w:spacing w:val="-7"/>
        </w:rPr>
        <w:t xml:space="preserve"> </w:t>
      </w:r>
      <w:r w:rsidRPr="00AB44AC">
        <w:t>will</w:t>
      </w:r>
      <w:r w:rsidRPr="00AB44AC">
        <w:rPr>
          <w:spacing w:val="-7"/>
        </w:rPr>
        <w:t xml:space="preserve"> </w:t>
      </w:r>
      <w:r w:rsidRPr="00AB44AC" w:rsidR="00162BAB">
        <w:rPr>
          <w:spacing w:val="-7"/>
        </w:rPr>
        <w:t>typically</w:t>
      </w:r>
      <w:r w:rsidRPr="00AB44AC">
        <w:rPr>
          <w:spacing w:val="-17"/>
        </w:rPr>
        <w:t xml:space="preserve"> </w:t>
      </w:r>
      <w:r w:rsidRPr="00AB44AC">
        <w:t>remain</w:t>
      </w:r>
      <w:r w:rsidRPr="00AB44AC">
        <w:rPr>
          <w:spacing w:val="-7"/>
        </w:rPr>
        <w:t xml:space="preserve"> </w:t>
      </w:r>
      <w:r w:rsidRPr="00AB44AC">
        <w:t>reactive</w:t>
      </w:r>
      <w:r w:rsidRPr="00AB44AC">
        <w:rPr>
          <w:spacing w:val="-8"/>
        </w:rPr>
        <w:t xml:space="preserve"> </w:t>
      </w:r>
      <w:r w:rsidRPr="00AB44AC">
        <w:t>for</w:t>
      </w:r>
      <w:r w:rsidRPr="00AB44AC">
        <w:rPr>
          <w:spacing w:val="-8"/>
        </w:rPr>
        <w:t xml:space="preserve"> </w:t>
      </w:r>
      <w:r w:rsidRPr="00AB44AC">
        <w:t>life,</w:t>
      </w:r>
      <w:r w:rsidRPr="00AB44AC">
        <w:rPr>
          <w:spacing w:val="-7"/>
        </w:rPr>
        <w:t xml:space="preserve"> </w:t>
      </w:r>
      <w:r w:rsidRPr="00AB44AC">
        <w:t xml:space="preserve">and therefore antibody indices cannot be used to determine responses </w:t>
      </w:r>
      <w:r w:rsidRPr="00A17FC1">
        <w:t>to</w:t>
      </w:r>
      <w:r w:rsidRPr="00A17FC1">
        <w:rPr>
          <w:spacing w:val="-39"/>
        </w:rPr>
        <w:t xml:space="preserve"> </w:t>
      </w:r>
      <w:r w:rsidRPr="00A17FC1">
        <w:t>therapy.</w:t>
      </w:r>
    </w:p>
    <w:p w:rsidRPr="00A17FC1" w:rsidR="00A17FC1" w:rsidP="00CD1D49" w:rsidRDefault="0022659D" w14:paraId="3B165874" w14:textId="77777777">
      <w:pPr>
        <w:pStyle w:val="AZListParagraph"/>
        <w:rPr>
          <w:sz w:val="20"/>
        </w:rPr>
      </w:pPr>
      <w:r w:rsidRPr="00A17FC1">
        <w:t xml:space="preserve">A nonreactive result does not totally exclude a recent (within the last 2-3 weeks) </w:t>
      </w:r>
      <w:r w:rsidRPr="00A17FC1">
        <w:rPr>
          <w:i/>
        </w:rPr>
        <w:t>T. pallidum</w:t>
      </w:r>
      <w:r w:rsidRPr="00A17FC1">
        <w:t xml:space="preserve"> </w:t>
      </w:r>
      <w:proofErr w:type="gramStart"/>
      <w:r w:rsidRPr="00A17FC1">
        <w:t>infection,</w:t>
      </w:r>
      <w:proofErr w:type="gramEnd"/>
      <w:r w:rsidRPr="00A17FC1">
        <w:t xml:space="preserve"> </w:t>
      </w:r>
      <w:r w:rsidRPr="00A17FC1" w:rsidR="00162BAB">
        <w:t>therefore,</w:t>
      </w:r>
      <w:r w:rsidRPr="00A17FC1">
        <w:t xml:space="preserve"> results need to be interpreted with caution.</w:t>
      </w:r>
    </w:p>
    <w:p w:rsidRPr="00A17FC1" w:rsidR="00A17FC1" w:rsidP="00CD1D49" w:rsidRDefault="006E1E58" w14:paraId="4B89E781" w14:textId="77777777">
      <w:pPr>
        <w:pStyle w:val="AZListParagraph"/>
        <w:rPr>
          <w:sz w:val="20"/>
        </w:rPr>
      </w:pPr>
      <w:r w:rsidRPr="00A17FC1">
        <w:t>C</w:t>
      </w:r>
      <w:r w:rsidRPr="00A17FC1" w:rsidR="00CC312A">
        <w:t>erebral spinal fluid (C</w:t>
      </w:r>
      <w:r w:rsidRPr="00A17FC1">
        <w:t>SF</w:t>
      </w:r>
      <w:r w:rsidRPr="00A17FC1" w:rsidR="00CC312A">
        <w:t>)</w:t>
      </w:r>
      <w:r w:rsidRPr="00A17FC1">
        <w:t xml:space="preserve"> </w:t>
      </w:r>
      <w:r w:rsidRPr="00A17FC1" w:rsidR="00CC312A">
        <w:t xml:space="preserve">is </w:t>
      </w:r>
      <w:r w:rsidRPr="00A17FC1">
        <w:t>not FDA approved for TP-PA testing.</w:t>
      </w:r>
    </w:p>
    <w:p w:rsidRPr="00A17FC1" w:rsidR="00404689" w:rsidP="00CD1D49" w:rsidRDefault="008C0D08" w14:paraId="7C3D13EB" w14:textId="4BB7216B">
      <w:pPr>
        <w:pStyle w:val="AZListParagraph"/>
        <w:rPr>
          <w:sz w:val="20"/>
        </w:rPr>
      </w:pPr>
      <w:r w:rsidRPr="00A17FC1">
        <w:t xml:space="preserve">The TP-PA may be reactive in a small percentage (less than 1%) of non-infected </w:t>
      </w:r>
      <w:proofErr w:type="gramStart"/>
      <w:r w:rsidRPr="00A17FC1">
        <w:t>persons</w:t>
      </w:r>
      <w:proofErr w:type="gramEnd"/>
      <w:r w:rsidRPr="00A17FC1">
        <w:t xml:space="preserve">. These false positive results are often transient and may occur in association with other underlying </w:t>
      </w:r>
      <w:proofErr w:type="gramStart"/>
      <w:r w:rsidRPr="00A17FC1">
        <w:t>illness</w:t>
      </w:r>
      <w:proofErr w:type="gramEnd"/>
      <w:r w:rsidRPr="00A17FC1">
        <w:t>. The manufacture of the test kit</w:t>
      </w:r>
      <w:r w:rsidRPr="00AB44AC">
        <w:t xml:space="preserve"> reports that samples from patients with HIV, leprosy, Toxoplasmosis, </w:t>
      </w:r>
      <w:r w:rsidRPr="00A17FC1">
        <w:rPr>
          <w:i/>
        </w:rPr>
        <w:t>H. pylori</w:t>
      </w:r>
      <w:r w:rsidRPr="00AB44AC">
        <w:t xml:space="preserve">, and drug </w:t>
      </w:r>
      <w:r w:rsidRPr="00AB44AC" w:rsidR="00013B9D">
        <w:t>users</w:t>
      </w:r>
      <w:r w:rsidRPr="00AB44AC">
        <w:t xml:space="preserve"> may occasionally </w:t>
      </w:r>
      <w:r w:rsidRPr="00AB44AC" w:rsidR="00EA2C34">
        <w:t xml:space="preserve">produce </w:t>
      </w:r>
      <w:r w:rsidRPr="00AB44AC">
        <w:t>either false positive or inconclusive results.</w:t>
      </w:r>
    </w:p>
    <w:p w:rsidR="00C7793F" w:rsidP="00CD1D49" w:rsidRDefault="00C7793F" w14:paraId="54C7EF41" w14:textId="77777777">
      <w:pPr>
        <w:pStyle w:val="AZHeading2"/>
      </w:pPr>
      <w:r>
        <w:t>ALIASES</w:t>
      </w:r>
      <w:r w:rsidRPr="00AB44AC">
        <w:t>:</w:t>
      </w:r>
      <w:r>
        <w:t xml:space="preserve">  </w:t>
      </w:r>
    </w:p>
    <w:p w:rsidRPr="00A17FC1" w:rsidR="00C7793F" w:rsidP="00CD1D49" w:rsidRDefault="00C7793F" w14:paraId="1532814F" w14:textId="77777777">
      <w:pPr>
        <w:pStyle w:val="AZNormalBody"/>
        <w:rPr>
          <w:color w:val="006666"/>
        </w:rPr>
      </w:pPr>
      <w:r w:rsidRPr="006C335F">
        <w:t>None</w:t>
      </w:r>
      <w:r>
        <w:t>.</w:t>
      </w:r>
    </w:p>
    <w:p w:rsidRPr="00A17FC1" w:rsidR="00BB013B" w:rsidP="00CD2353" w:rsidRDefault="00A17FC1" w14:paraId="3FB14393" w14:textId="1A6BB8C2">
      <w:pPr>
        <w:pStyle w:val="AZHeading2"/>
      </w:pPr>
      <w:r>
        <w:t>INTERPRETATION GUIDE</w:t>
      </w:r>
      <w:r w:rsidR="00943CC3">
        <w:t>:</w:t>
      </w:r>
    </w:p>
    <w:tbl>
      <w:tblPr>
        <w:tblpPr w:leftFromText="180" w:rightFromText="180" w:vertAnchor="text" w:horzAnchor="margin" w:tblpXSpec="center" w:tblpY="46"/>
        <w:tblW w:w="110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97"/>
        <w:gridCol w:w="1577"/>
        <w:gridCol w:w="1684"/>
        <w:gridCol w:w="6307"/>
      </w:tblGrid>
      <w:tr w:rsidRPr="00CD1D49" w:rsidR="00404689" w:rsidTr="00CD1D49" w14:paraId="61581E2B" w14:textId="77777777">
        <w:trPr>
          <w:cantSplit/>
          <w:trHeight w:val="350"/>
          <w:tblHeader/>
        </w:trPr>
        <w:tc>
          <w:tcPr>
            <w:tcW w:w="1208" w:type="dxa"/>
            <w:shd w:val="clear" w:color="auto" w:fill="D9E2F3"/>
          </w:tcPr>
          <w:p w:rsidRPr="00CD1D49" w:rsidR="00404689" w:rsidP="00E41E6C" w:rsidRDefault="00404689" w14:paraId="0E7A4056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D49">
              <w:rPr>
                <w:rFonts w:ascii="Arial" w:hAnsi="Arial" w:cs="Arial"/>
                <w:b/>
                <w:bCs/>
              </w:rPr>
              <w:t>MIA</w:t>
            </w:r>
          </w:p>
        </w:tc>
        <w:tc>
          <w:tcPr>
            <w:tcW w:w="1573" w:type="dxa"/>
            <w:shd w:val="clear" w:color="auto" w:fill="D9E2F3"/>
          </w:tcPr>
          <w:p w:rsidRPr="00CD1D49" w:rsidR="00404689" w:rsidP="00E41E6C" w:rsidRDefault="00A50A19" w14:paraId="0302E63B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D49">
              <w:rPr>
                <w:rFonts w:ascii="Arial" w:hAnsi="Arial" w:cs="Arial"/>
                <w:b/>
                <w:bCs/>
              </w:rPr>
              <w:t>RPR</w:t>
            </w:r>
          </w:p>
        </w:tc>
        <w:tc>
          <w:tcPr>
            <w:tcW w:w="1624" w:type="dxa"/>
            <w:shd w:val="clear" w:color="auto" w:fill="D9E2F3"/>
          </w:tcPr>
          <w:p w:rsidRPr="00CD1D49" w:rsidR="00404689" w:rsidP="00E41E6C" w:rsidRDefault="00404689" w14:paraId="214727BF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D49">
              <w:rPr>
                <w:rFonts w:ascii="Arial" w:hAnsi="Arial" w:cs="Arial"/>
                <w:b/>
                <w:bCs/>
              </w:rPr>
              <w:t>TP-PA</w:t>
            </w:r>
          </w:p>
        </w:tc>
        <w:tc>
          <w:tcPr>
            <w:tcW w:w="6660" w:type="dxa"/>
            <w:shd w:val="clear" w:color="auto" w:fill="D9E2F3"/>
          </w:tcPr>
          <w:p w:rsidRPr="00CD1D49" w:rsidR="00404689" w:rsidP="00E41E6C" w:rsidRDefault="00404689" w14:paraId="41CC9AB6" w14:textId="77777777">
            <w:pPr>
              <w:rPr>
                <w:rFonts w:ascii="Arial" w:hAnsi="Arial" w:cs="Arial"/>
                <w:b/>
                <w:bCs/>
              </w:rPr>
            </w:pPr>
            <w:r w:rsidRPr="00CD1D49">
              <w:rPr>
                <w:rFonts w:ascii="Arial" w:hAnsi="Arial" w:cs="Arial"/>
                <w:b/>
                <w:bCs/>
              </w:rPr>
              <w:t>Interpretation</w:t>
            </w:r>
          </w:p>
        </w:tc>
      </w:tr>
      <w:tr w:rsidRPr="00CD1D49" w:rsidR="00404689" w:rsidTr="00CD1D49" w14:paraId="3090C1BD" w14:textId="77777777">
        <w:trPr>
          <w:cantSplit/>
          <w:trHeight w:val="469"/>
        </w:trPr>
        <w:tc>
          <w:tcPr>
            <w:tcW w:w="1208" w:type="dxa"/>
          </w:tcPr>
          <w:p w:rsidRPr="00CD1D49" w:rsidR="00404689" w:rsidP="00E41E6C" w:rsidRDefault="00404689" w14:paraId="0C8A4099" w14:textId="77777777">
            <w:pPr>
              <w:rPr>
                <w:rFonts w:ascii="Arial" w:hAnsi="Arial" w:cs="Arial"/>
              </w:rPr>
            </w:pPr>
            <w:r w:rsidRPr="00CD1D49">
              <w:rPr>
                <w:rFonts w:ascii="Arial" w:hAnsi="Arial" w:cs="Arial"/>
              </w:rPr>
              <w:t>Nonreactive</w:t>
            </w:r>
          </w:p>
        </w:tc>
        <w:tc>
          <w:tcPr>
            <w:tcW w:w="1573" w:type="dxa"/>
          </w:tcPr>
          <w:p w:rsidRPr="00CD1D49" w:rsidR="00404689" w:rsidP="00CD1D49" w:rsidRDefault="00404689" w14:paraId="6D730E6F" w14:textId="7DC33036">
            <w:pPr>
              <w:rPr>
                <w:rFonts w:ascii="Arial" w:hAnsi="Arial" w:cs="Arial"/>
              </w:rPr>
            </w:pPr>
            <w:r w:rsidRPr="00CD1D49">
              <w:rPr>
                <w:rFonts w:ascii="Arial" w:hAnsi="Arial" w:cs="Arial"/>
              </w:rPr>
              <w:t>Not indicated</w:t>
            </w:r>
            <w:r w:rsidR="00CD1D49">
              <w:rPr>
                <w:rFonts w:ascii="Arial" w:hAnsi="Arial" w:cs="Arial"/>
              </w:rPr>
              <w:t xml:space="preserve"> </w:t>
            </w:r>
            <w:r w:rsidRPr="00CD1D49">
              <w:rPr>
                <w:rFonts w:ascii="Arial" w:hAnsi="Arial" w:cs="Arial"/>
              </w:rPr>
              <w:t>(or Nonreactive)</w:t>
            </w:r>
          </w:p>
        </w:tc>
        <w:tc>
          <w:tcPr>
            <w:tcW w:w="1624" w:type="dxa"/>
          </w:tcPr>
          <w:p w:rsidRPr="00CD1D49" w:rsidR="00404689" w:rsidP="00E41E6C" w:rsidRDefault="00404689" w14:paraId="71FDABDC" w14:textId="77777777">
            <w:pPr>
              <w:rPr>
                <w:rFonts w:ascii="Arial" w:hAnsi="Arial" w:cs="Arial"/>
              </w:rPr>
            </w:pPr>
            <w:r w:rsidRPr="00CD1D49">
              <w:rPr>
                <w:rFonts w:ascii="Arial" w:hAnsi="Arial" w:cs="Arial"/>
              </w:rPr>
              <w:t>Not indicated</w:t>
            </w:r>
          </w:p>
          <w:p w:rsidRPr="00CD1D49" w:rsidR="00404689" w:rsidP="00E41E6C" w:rsidRDefault="00404689" w14:paraId="2BB71AB9" w14:textId="77777777">
            <w:pPr>
              <w:rPr>
                <w:rFonts w:ascii="Arial" w:hAnsi="Arial" w:cs="Arial"/>
              </w:rPr>
            </w:pPr>
            <w:r w:rsidRPr="00CD1D49">
              <w:rPr>
                <w:rFonts w:ascii="Arial" w:hAnsi="Arial" w:cs="Arial"/>
              </w:rPr>
              <w:t>(or Nonreactive)</w:t>
            </w:r>
          </w:p>
        </w:tc>
        <w:tc>
          <w:tcPr>
            <w:tcW w:w="6660" w:type="dxa"/>
          </w:tcPr>
          <w:p w:rsidRPr="00CD1D49" w:rsidR="00404689" w:rsidP="00E41E6C" w:rsidRDefault="00404689" w14:paraId="2A88F22A" w14:textId="77777777">
            <w:pPr>
              <w:rPr>
                <w:rFonts w:ascii="Arial" w:hAnsi="Arial" w:cs="Arial"/>
              </w:rPr>
            </w:pPr>
            <w:r w:rsidRPr="00CD1D49">
              <w:rPr>
                <w:rFonts w:ascii="Arial" w:hAnsi="Arial" w:cs="Arial"/>
              </w:rPr>
              <w:t xml:space="preserve">No serologic evidence of syphilis infection. </w:t>
            </w:r>
          </w:p>
          <w:p w:rsidRPr="00CD1D49" w:rsidR="00404689" w:rsidP="00E41E6C" w:rsidRDefault="00404689" w14:paraId="62BF0F9F" w14:textId="77777777">
            <w:pPr>
              <w:rPr>
                <w:rFonts w:ascii="Arial" w:hAnsi="Arial" w:cs="Arial"/>
              </w:rPr>
            </w:pPr>
            <w:r w:rsidRPr="00CD1D49">
              <w:rPr>
                <w:rFonts w:ascii="Arial" w:hAnsi="Arial" w:cs="Arial"/>
              </w:rPr>
              <w:t xml:space="preserve">Recommend additional testing consistent with clinical history </w:t>
            </w:r>
            <w:proofErr w:type="gramStart"/>
            <w:r w:rsidRPr="00CD1D49">
              <w:rPr>
                <w:rFonts w:ascii="Arial" w:hAnsi="Arial" w:cs="Arial"/>
              </w:rPr>
              <w:t>findings.*</w:t>
            </w:r>
            <w:proofErr w:type="gramEnd"/>
          </w:p>
          <w:p w:rsidRPr="00CD1D49" w:rsidR="00404689" w:rsidP="00E41E6C" w:rsidRDefault="00404689" w14:paraId="56C722D9" w14:textId="77777777">
            <w:pPr>
              <w:rPr>
                <w:rFonts w:ascii="Arial" w:hAnsi="Arial" w:cs="Arial"/>
              </w:rPr>
            </w:pPr>
            <w:r w:rsidRPr="00CD1D49">
              <w:rPr>
                <w:rFonts w:ascii="Arial" w:hAnsi="Arial" w:cs="Arial"/>
              </w:rPr>
              <w:t>(If MIA is nonreactive, further testing is generally not performed)</w:t>
            </w:r>
          </w:p>
        </w:tc>
      </w:tr>
      <w:tr w:rsidRPr="00CD1D49" w:rsidR="00404689" w:rsidTr="00CD1D49" w14:paraId="2094A623" w14:textId="77777777">
        <w:trPr>
          <w:cantSplit/>
          <w:trHeight w:val="512"/>
        </w:trPr>
        <w:tc>
          <w:tcPr>
            <w:tcW w:w="1208" w:type="dxa"/>
          </w:tcPr>
          <w:p w:rsidRPr="00CD1D49" w:rsidR="00404689" w:rsidP="00E41E6C" w:rsidRDefault="00404689" w14:paraId="3C654082" w14:textId="77777777">
            <w:pPr>
              <w:rPr>
                <w:rFonts w:ascii="Arial" w:hAnsi="Arial" w:cs="Arial"/>
              </w:rPr>
            </w:pPr>
            <w:r w:rsidRPr="00CD1D49">
              <w:rPr>
                <w:rFonts w:ascii="Arial" w:hAnsi="Arial" w:cs="Arial"/>
              </w:rPr>
              <w:t>Reactive</w:t>
            </w:r>
          </w:p>
        </w:tc>
        <w:tc>
          <w:tcPr>
            <w:tcW w:w="1573" w:type="dxa"/>
          </w:tcPr>
          <w:p w:rsidRPr="00CD1D49" w:rsidR="00404689" w:rsidP="00E41E6C" w:rsidRDefault="00404689" w14:paraId="136894B2" w14:textId="77777777">
            <w:pPr>
              <w:rPr>
                <w:rFonts w:ascii="Arial" w:hAnsi="Arial" w:cs="Arial"/>
              </w:rPr>
            </w:pPr>
            <w:r w:rsidRPr="00CD1D49">
              <w:rPr>
                <w:rFonts w:ascii="Arial" w:hAnsi="Arial" w:cs="Arial"/>
              </w:rPr>
              <w:t>Reactive</w:t>
            </w:r>
          </w:p>
        </w:tc>
        <w:tc>
          <w:tcPr>
            <w:tcW w:w="1624" w:type="dxa"/>
          </w:tcPr>
          <w:p w:rsidRPr="00CD1D49" w:rsidR="00404689" w:rsidP="00E41E6C" w:rsidRDefault="00404689" w14:paraId="2E1D1F7F" w14:textId="77777777">
            <w:pPr>
              <w:rPr>
                <w:rFonts w:ascii="Arial" w:hAnsi="Arial" w:cs="Arial"/>
              </w:rPr>
            </w:pPr>
            <w:r w:rsidRPr="00CD1D49">
              <w:rPr>
                <w:rFonts w:ascii="Arial" w:hAnsi="Arial" w:cs="Arial"/>
              </w:rPr>
              <w:t>Not indicated</w:t>
            </w:r>
          </w:p>
          <w:p w:rsidRPr="00CD1D49" w:rsidR="00404689" w:rsidP="00E41E6C" w:rsidRDefault="00404689" w14:paraId="2E4E12C5" w14:textId="77777777">
            <w:pPr>
              <w:rPr>
                <w:rFonts w:ascii="Arial" w:hAnsi="Arial" w:cs="Arial"/>
              </w:rPr>
            </w:pPr>
            <w:r w:rsidRPr="00CD1D49">
              <w:rPr>
                <w:rFonts w:ascii="Arial" w:hAnsi="Arial" w:cs="Arial"/>
              </w:rPr>
              <w:t>(or Reactive)</w:t>
            </w:r>
          </w:p>
          <w:p w:rsidRPr="00CD1D49" w:rsidR="00404689" w:rsidP="00E41E6C" w:rsidRDefault="00404689" w14:paraId="0432DBEC" w14:textId="77777777">
            <w:pPr>
              <w:rPr>
                <w:rFonts w:ascii="Arial" w:hAnsi="Arial" w:cs="Arial"/>
              </w:rPr>
            </w:pPr>
          </w:p>
        </w:tc>
        <w:tc>
          <w:tcPr>
            <w:tcW w:w="6660" w:type="dxa"/>
          </w:tcPr>
          <w:p w:rsidRPr="00CD1D49" w:rsidR="00404689" w:rsidP="00E41E6C" w:rsidRDefault="00404689" w14:paraId="2E2BA3BC" w14:textId="77777777">
            <w:pPr>
              <w:rPr>
                <w:rFonts w:ascii="Arial" w:hAnsi="Arial" w:cs="Arial"/>
              </w:rPr>
            </w:pPr>
            <w:r w:rsidRPr="00CD1D49">
              <w:rPr>
                <w:rFonts w:ascii="Arial" w:hAnsi="Arial" w:cs="Arial"/>
              </w:rPr>
              <w:t xml:space="preserve">Presumptive evidence of syphilis </w:t>
            </w:r>
            <w:proofErr w:type="gramStart"/>
            <w:r w:rsidRPr="00CD1D49">
              <w:rPr>
                <w:rFonts w:ascii="Arial" w:hAnsi="Arial" w:cs="Arial"/>
              </w:rPr>
              <w:t>infection.</w:t>
            </w:r>
            <w:r w:rsidRPr="00CD1D49">
              <w:rPr>
                <w:rFonts w:ascii="Sylfaen" w:hAnsi="Sylfaen" w:cs="Sylfaen"/>
              </w:rPr>
              <w:t>ⴕ</w:t>
            </w:r>
            <w:proofErr w:type="gramEnd"/>
            <w:r w:rsidRPr="00CD1D49">
              <w:rPr>
                <w:rFonts w:ascii="Arial" w:hAnsi="Arial" w:cs="Arial"/>
              </w:rPr>
              <w:t xml:space="preserve"> </w:t>
            </w:r>
          </w:p>
          <w:p w:rsidRPr="00CD1D49" w:rsidR="00404689" w:rsidP="00E41E6C" w:rsidRDefault="00404689" w14:paraId="5B352336" w14:textId="77777777">
            <w:pPr>
              <w:rPr>
                <w:rFonts w:ascii="Arial" w:hAnsi="Arial" w:cs="Arial"/>
              </w:rPr>
            </w:pPr>
          </w:p>
        </w:tc>
      </w:tr>
      <w:tr w:rsidRPr="00CD1D49" w:rsidR="00404689" w:rsidTr="00CD1D49" w14:paraId="3AED4378" w14:textId="77777777">
        <w:trPr>
          <w:cantSplit/>
          <w:trHeight w:val="469"/>
        </w:trPr>
        <w:tc>
          <w:tcPr>
            <w:tcW w:w="1208" w:type="dxa"/>
          </w:tcPr>
          <w:p w:rsidRPr="00CD1D49" w:rsidR="00404689" w:rsidP="00E41E6C" w:rsidRDefault="00404689" w14:paraId="01B64630" w14:textId="77777777">
            <w:pPr>
              <w:rPr>
                <w:rFonts w:ascii="Arial" w:hAnsi="Arial" w:cs="Arial"/>
              </w:rPr>
            </w:pPr>
            <w:r w:rsidRPr="00CD1D49">
              <w:rPr>
                <w:rFonts w:ascii="Arial" w:hAnsi="Arial" w:cs="Arial"/>
              </w:rPr>
              <w:t>Reactive</w:t>
            </w:r>
          </w:p>
        </w:tc>
        <w:tc>
          <w:tcPr>
            <w:tcW w:w="1573" w:type="dxa"/>
          </w:tcPr>
          <w:p w:rsidRPr="00CD1D49" w:rsidR="00404689" w:rsidP="00E41E6C" w:rsidRDefault="00404689" w14:paraId="48AF5F20" w14:textId="77777777">
            <w:pPr>
              <w:rPr>
                <w:rFonts w:ascii="Arial" w:hAnsi="Arial" w:cs="Arial"/>
              </w:rPr>
            </w:pPr>
            <w:r w:rsidRPr="00CD1D49">
              <w:rPr>
                <w:rFonts w:ascii="Arial" w:hAnsi="Arial" w:cs="Arial"/>
              </w:rPr>
              <w:t>Nonreactive</w:t>
            </w:r>
          </w:p>
        </w:tc>
        <w:tc>
          <w:tcPr>
            <w:tcW w:w="1624" w:type="dxa"/>
          </w:tcPr>
          <w:p w:rsidRPr="00CD1D49" w:rsidR="00404689" w:rsidP="00E41E6C" w:rsidRDefault="00404689" w14:paraId="0AE1379B" w14:textId="77777777">
            <w:pPr>
              <w:rPr>
                <w:rFonts w:ascii="Arial" w:hAnsi="Arial" w:cs="Arial"/>
              </w:rPr>
            </w:pPr>
            <w:r w:rsidRPr="00CD1D49">
              <w:rPr>
                <w:rFonts w:ascii="Arial" w:hAnsi="Arial" w:cs="Arial"/>
              </w:rPr>
              <w:t>Reactive or Indeterminate</w:t>
            </w:r>
          </w:p>
        </w:tc>
        <w:tc>
          <w:tcPr>
            <w:tcW w:w="6660" w:type="dxa"/>
          </w:tcPr>
          <w:p w:rsidRPr="00CD1D49" w:rsidR="00404689" w:rsidP="00E41E6C" w:rsidRDefault="00404689" w14:paraId="7D1EEBC7" w14:textId="77777777">
            <w:pPr>
              <w:rPr>
                <w:rFonts w:ascii="Arial" w:hAnsi="Arial" w:cs="Arial"/>
              </w:rPr>
            </w:pPr>
            <w:r w:rsidRPr="00CD1D49">
              <w:rPr>
                <w:rFonts w:ascii="Arial" w:hAnsi="Arial" w:cs="Arial"/>
              </w:rPr>
              <w:t xml:space="preserve">Primary or latent infection, or previously treated or untreated syphilis. </w:t>
            </w:r>
          </w:p>
          <w:p w:rsidRPr="00CD1D49" w:rsidR="00404689" w:rsidP="00E41E6C" w:rsidRDefault="00404689" w14:paraId="26483385" w14:textId="77777777">
            <w:pPr>
              <w:rPr>
                <w:rFonts w:ascii="Arial" w:hAnsi="Arial" w:cs="Arial"/>
              </w:rPr>
            </w:pPr>
            <w:r w:rsidRPr="00CD1D49">
              <w:rPr>
                <w:rFonts w:ascii="Arial" w:hAnsi="Arial" w:cs="Arial"/>
              </w:rPr>
              <w:t xml:space="preserve">Recommend additional testing consistent with clinical history </w:t>
            </w:r>
            <w:proofErr w:type="gramStart"/>
            <w:r w:rsidRPr="00CD1D49">
              <w:rPr>
                <w:rFonts w:ascii="Arial" w:hAnsi="Arial" w:cs="Arial"/>
              </w:rPr>
              <w:t>findings.*</w:t>
            </w:r>
            <w:proofErr w:type="gramEnd"/>
          </w:p>
        </w:tc>
      </w:tr>
      <w:tr w:rsidRPr="00CD1D49" w:rsidR="00404689" w:rsidTr="00CD1D49" w14:paraId="178E0D94" w14:textId="77777777">
        <w:trPr>
          <w:cantSplit/>
          <w:trHeight w:val="704"/>
        </w:trPr>
        <w:tc>
          <w:tcPr>
            <w:tcW w:w="1208" w:type="dxa"/>
          </w:tcPr>
          <w:p w:rsidRPr="00CD1D49" w:rsidR="00404689" w:rsidP="00E41E6C" w:rsidRDefault="00404689" w14:paraId="3B421761" w14:textId="77777777">
            <w:pPr>
              <w:rPr>
                <w:rFonts w:ascii="Arial" w:hAnsi="Arial" w:cs="Arial"/>
              </w:rPr>
            </w:pPr>
            <w:r w:rsidRPr="00CD1D49">
              <w:rPr>
                <w:rFonts w:ascii="Arial" w:hAnsi="Arial" w:cs="Arial"/>
              </w:rPr>
              <w:t>Nonreactive</w:t>
            </w:r>
          </w:p>
        </w:tc>
        <w:tc>
          <w:tcPr>
            <w:tcW w:w="1573" w:type="dxa"/>
          </w:tcPr>
          <w:p w:rsidRPr="00CD1D49" w:rsidR="00404689" w:rsidP="00E41E6C" w:rsidRDefault="00404689" w14:paraId="7187B455" w14:textId="77777777">
            <w:pPr>
              <w:rPr>
                <w:rFonts w:ascii="Arial" w:hAnsi="Arial" w:cs="Arial"/>
              </w:rPr>
            </w:pPr>
            <w:r w:rsidRPr="00CD1D49">
              <w:rPr>
                <w:rFonts w:ascii="Arial" w:hAnsi="Arial" w:cs="Arial"/>
              </w:rPr>
              <w:t>Reactive</w:t>
            </w:r>
          </w:p>
        </w:tc>
        <w:tc>
          <w:tcPr>
            <w:tcW w:w="1624" w:type="dxa"/>
          </w:tcPr>
          <w:p w:rsidRPr="00CD1D49" w:rsidR="00404689" w:rsidP="00E41E6C" w:rsidRDefault="00404689" w14:paraId="7E1E27BF" w14:textId="77777777">
            <w:pPr>
              <w:rPr>
                <w:rFonts w:ascii="Arial" w:hAnsi="Arial" w:cs="Arial"/>
              </w:rPr>
            </w:pPr>
            <w:r w:rsidRPr="00CD1D49">
              <w:rPr>
                <w:rFonts w:ascii="Arial" w:hAnsi="Arial" w:cs="Arial"/>
              </w:rPr>
              <w:t xml:space="preserve">Nonreactive  </w:t>
            </w:r>
          </w:p>
        </w:tc>
        <w:tc>
          <w:tcPr>
            <w:tcW w:w="6660" w:type="dxa"/>
          </w:tcPr>
          <w:p w:rsidRPr="00CD1D49" w:rsidR="00404689" w:rsidP="00E41E6C" w:rsidRDefault="00404689" w14:paraId="65E7C8CA" w14:textId="77777777">
            <w:pPr>
              <w:rPr>
                <w:rFonts w:ascii="Arial" w:hAnsi="Arial" w:cs="Arial"/>
              </w:rPr>
            </w:pPr>
            <w:r w:rsidRPr="00CD1D49">
              <w:rPr>
                <w:rFonts w:ascii="Arial" w:hAnsi="Arial" w:cs="Arial"/>
              </w:rPr>
              <w:t xml:space="preserve">Syphilis infection </w:t>
            </w:r>
            <w:proofErr w:type="gramStart"/>
            <w:r w:rsidRPr="00CD1D49">
              <w:rPr>
                <w:rFonts w:ascii="Arial" w:hAnsi="Arial" w:cs="Arial"/>
              </w:rPr>
              <w:t>unlikely</w:t>
            </w:r>
            <w:proofErr w:type="gramEnd"/>
            <w:r w:rsidRPr="00CD1D49">
              <w:rPr>
                <w:rFonts w:ascii="Arial" w:hAnsi="Arial" w:cs="Arial"/>
              </w:rPr>
              <w:t>; biological false positive likely.</w:t>
            </w:r>
          </w:p>
          <w:p w:rsidRPr="00CD1D49" w:rsidR="00404689" w:rsidP="00E41E6C" w:rsidRDefault="00404689" w14:paraId="080ED7B6" w14:textId="77777777">
            <w:pPr>
              <w:rPr>
                <w:rFonts w:ascii="Arial" w:hAnsi="Arial" w:cs="Arial"/>
              </w:rPr>
            </w:pPr>
            <w:r w:rsidRPr="00CD1D49">
              <w:rPr>
                <w:rFonts w:ascii="Arial" w:hAnsi="Arial" w:cs="Arial"/>
              </w:rPr>
              <w:t xml:space="preserve">Recommend additional testing consistent with clinical history </w:t>
            </w:r>
            <w:proofErr w:type="gramStart"/>
            <w:r w:rsidRPr="00CD1D49">
              <w:rPr>
                <w:rFonts w:ascii="Arial" w:hAnsi="Arial" w:cs="Arial"/>
              </w:rPr>
              <w:t>findings.*</w:t>
            </w:r>
            <w:proofErr w:type="gramEnd"/>
          </w:p>
          <w:p w:rsidRPr="00CD1D49" w:rsidR="00404689" w:rsidP="00E41E6C" w:rsidRDefault="00404689" w14:paraId="3C760AED" w14:textId="77777777">
            <w:pPr>
              <w:rPr>
                <w:rFonts w:ascii="Arial" w:hAnsi="Arial" w:cs="Arial"/>
              </w:rPr>
            </w:pPr>
            <w:r w:rsidRPr="00CD1D49">
              <w:rPr>
                <w:rFonts w:ascii="Arial" w:hAnsi="Arial" w:cs="Arial"/>
              </w:rPr>
              <w:t xml:space="preserve">(If MIA is nonreactive, further testing is generally not performed) </w:t>
            </w:r>
          </w:p>
        </w:tc>
      </w:tr>
      <w:tr w:rsidRPr="00CD1D49" w:rsidR="00404689" w:rsidTr="00CD1D49" w14:paraId="1114A2CC" w14:textId="77777777">
        <w:trPr>
          <w:cantSplit/>
          <w:trHeight w:val="548"/>
        </w:trPr>
        <w:tc>
          <w:tcPr>
            <w:tcW w:w="1208" w:type="dxa"/>
          </w:tcPr>
          <w:p w:rsidRPr="00CD1D49" w:rsidR="00404689" w:rsidP="00E41E6C" w:rsidRDefault="00404689" w14:paraId="3FAB9453" w14:textId="77777777">
            <w:pPr>
              <w:rPr>
                <w:rFonts w:ascii="Arial" w:hAnsi="Arial" w:cs="Arial"/>
              </w:rPr>
            </w:pPr>
            <w:r w:rsidRPr="00CD1D49">
              <w:rPr>
                <w:rFonts w:ascii="Arial" w:hAnsi="Arial" w:cs="Arial"/>
              </w:rPr>
              <w:t>Equivocal or Reactive</w:t>
            </w:r>
          </w:p>
        </w:tc>
        <w:tc>
          <w:tcPr>
            <w:tcW w:w="1573" w:type="dxa"/>
          </w:tcPr>
          <w:p w:rsidRPr="00CD1D49" w:rsidR="00404689" w:rsidP="00E41E6C" w:rsidRDefault="00404689" w14:paraId="3465F86A" w14:textId="77777777">
            <w:pPr>
              <w:rPr>
                <w:rFonts w:ascii="Arial" w:hAnsi="Arial" w:cs="Arial"/>
              </w:rPr>
            </w:pPr>
            <w:r w:rsidRPr="00CD1D49">
              <w:rPr>
                <w:rFonts w:ascii="Arial" w:hAnsi="Arial" w:cs="Arial"/>
              </w:rPr>
              <w:t xml:space="preserve">Nonreactive </w:t>
            </w:r>
          </w:p>
        </w:tc>
        <w:tc>
          <w:tcPr>
            <w:tcW w:w="1624" w:type="dxa"/>
          </w:tcPr>
          <w:p w:rsidRPr="00CD1D49" w:rsidR="00404689" w:rsidP="00E41E6C" w:rsidRDefault="00404689" w14:paraId="46F7C031" w14:textId="77777777">
            <w:pPr>
              <w:rPr>
                <w:rFonts w:ascii="Arial" w:hAnsi="Arial" w:cs="Arial"/>
              </w:rPr>
            </w:pPr>
            <w:r w:rsidRPr="00CD1D49">
              <w:rPr>
                <w:rFonts w:ascii="Arial" w:hAnsi="Arial" w:cs="Arial"/>
              </w:rPr>
              <w:t>Nonreactive</w:t>
            </w:r>
          </w:p>
        </w:tc>
        <w:tc>
          <w:tcPr>
            <w:tcW w:w="6660" w:type="dxa"/>
          </w:tcPr>
          <w:p w:rsidRPr="00CD1D49" w:rsidR="00404689" w:rsidP="00E41E6C" w:rsidRDefault="00404689" w14:paraId="2994EECB" w14:textId="77777777">
            <w:pPr>
              <w:rPr>
                <w:rFonts w:ascii="Arial" w:hAnsi="Arial" w:cs="Arial"/>
              </w:rPr>
            </w:pPr>
            <w:r w:rsidRPr="00CD1D49">
              <w:rPr>
                <w:rFonts w:ascii="Arial" w:hAnsi="Arial" w:cs="Arial"/>
              </w:rPr>
              <w:t>Indeterminate for syphilis infection; potentially early infection or false positive.</w:t>
            </w:r>
          </w:p>
          <w:p w:rsidRPr="00CD1D49" w:rsidR="00404689" w:rsidP="00E41E6C" w:rsidRDefault="00404689" w14:paraId="5199B72A" w14:textId="77777777">
            <w:pPr>
              <w:rPr>
                <w:rFonts w:ascii="Arial" w:hAnsi="Arial" w:cs="Arial"/>
              </w:rPr>
            </w:pPr>
            <w:r w:rsidRPr="00CD1D49">
              <w:rPr>
                <w:rFonts w:ascii="Arial" w:hAnsi="Arial" w:cs="Arial"/>
              </w:rPr>
              <w:t xml:space="preserve">Recommend additional testing consistent with clinical history </w:t>
            </w:r>
            <w:proofErr w:type="gramStart"/>
            <w:r w:rsidRPr="00CD1D49">
              <w:rPr>
                <w:rFonts w:ascii="Arial" w:hAnsi="Arial" w:cs="Arial"/>
              </w:rPr>
              <w:t>findings.*</w:t>
            </w:r>
            <w:proofErr w:type="gramEnd"/>
          </w:p>
        </w:tc>
      </w:tr>
      <w:tr w:rsidRPr="00CD1D49" w:rsidR="00404689" w:rsidTr="00CD1D49" w14:paraId="00D30040" w14:textId="77777777">
        <w:trPr>
          <w:cantSplit/>
          <w:trHeight w:val="469"/>
        </w:trPr>
        <w:tc>
          <w:tcPr>
            <w:tcW w:w="1208" w:type="dxa"/>
          </w:tcPr>
          <w:p w:rsidRPr="00CD1D49" w:rsidR="00404689" w:rsidP="00E41E6C" w:rsidRDefault="00404689" w14:paraId="5FB62C19" w14:textId="77777777">
            <w:pPr>
              <w:rPr>
                <w:rFonts w:ascii="Arial" w:hAnsi="Arial" w:cs="Arial"/>
              </w:rPr>
            </w:pPr>
            <w:r w:rsidRPr="00CD1D49">
              <w:rPr>
                <w:rFonts w:ascii="Arial" w:hAnsi="Arial" w:cs="Arial"/>
              </w:rPr>
              <w:t xml:space="preserve">Equivocal </w:t>
            </w:r>
          </w:p>
        </w:tc>
        <w:tc>
          <w:tcPr>
            <w:tcW w:w="1573" w:type="dxa"/>
          </w:tcPr>
          <w:p w:rsidRPr="00CD1D49" w:rsidR="00404689" w:rsidP="00E41E6C" w:rsidRDefault="00404689" w14:paraId="6AC69990" w14:textId="77777777">
            <w:pPr>
              <w:rPr>
                <w:rFonts w:ascii="Arial" w:hAnsi="Arial" w:cs="Arial"/>
              </w:rPr>
            </w:pPr>
            <w:r w:rsidRPr="00CD1D49">
              <w:rPr>
                <w:rFonts w:ascii="Arial" w:hAnsi="Arial" w:cs="Arial"/>
              </w:rPr>
              <w:t>Nonreactive or Reactive</w:t>
            </w:r>
          </w:p>
        </w:tc>
        <w:tc>
          <w:tcPr>
            <w:tcW w:w="1624" w:type="dxa"/>
          </w:tcPr>
          <w:p w:rsidRPr="00CD1D49" w:rsidR="00404689" w:rsidP="00E41E6C" w:rsidRDefault="00404689" w14:paraId="5FFE2B63" w14:textId="77777777">
            <w:pPr>
              <w:rPr>
                <w:rFonts w:ascii="Arial" w:hAnsi="Arial" w:cs="Arial"/>
              </w:rPr>
            </w:pPr>
            <w:r w:rsidRPr="00CD1D49">
              <w:rPr>
                <w:rFonts w:ascii="Arial" w:hAnsi="Arial" w:cs="Arial"/>
              </w:rPr>
              <w:t xml:space="preserve">Indeterminate </w:t>
            </w:r>
          </w:p>
        </w:tc>
        <w:tc>
          <w:tcPr>
            <w:tcW w:w="6660" w:type="dxa"/>
          </w:tcPr>
          <w:p w:rsidRPr="00CD1D49" w:rsidR="00404689" w:rsidP="00E41E6C" w:rsidRDefault="00404689" w14:paraId="34D35B65" w14:textId="77777777">
            <w:pPr>
              <w:rPr>
                <w:rFonts w:ascii="Arial" w:hAnsi="Arial" w:cs="Arial"/>
              </w:rPr>
            </w:pPr>
            <w:r w:rsidRPr="00CD1D49">
              <w:rPr>
                <w:rFonts w:ascii="Arial" w:hAnsi="Arial" w:cs="Arial"/>
              </w:rPr>
              <w:t>Indeterminate for syphilis infection; potentially early infection or false positive.</w:t>
            </w:r>
          </w:p>
          <w:p w:rsidRPr="00CD1D49" w:rsidR="00404689" w:rsidP="00E41E6C" w:rsidRDefault="00404689" w14:paraId="2B65F0C8" w14:textId="77777777">
            <w:pPr>
              <w:rPr>
                <w:rFonts w:ascii="Arial" w:hAnsi="Arial" w:cs="Arial"/>
              </w:rPr>
            </w:pPr>
            <w:r w:rsidRPr="00CD1D49">
              <w:rPr>
                <w:rFonts w:ascii="Arial" w:hAnsi="Arial" w:cs="Arial"/>
              </w:rPr>
              <w:t xml:space="preserve">Recommend additional testing consistent with clinical history </w:t>
            </w:r>
            <w:proofErr w:type="gramStart"/>
            <w:r w:rsidRPr="00CD1D49">
              <w:rPr>
                <w:rFonts w:ascii="Arial" w:hAnsi="Arial" w:cs="Arial"/>
              </w:rPr>
              <w:t>findings.*</w:t>
            </w:r>
            <w:proofErr w:type="gramEnd"/>
          </w:p>
        </w:tc>
      </w:tr>
      <w:tr w:rsidRPr="00CD1D49" w:rsidR="00404689" w:rsidTr="00CD1D49" w14:paraId="3E9DE10A" w14:textId="77777777">
        <w:trPr>
          <w:cantSplit/>
          <w:trHeight w:val="70"/>
        </w:trPr>
        <w:tc>
          <w:tcPr>
            <w:tcW w:w="1208" w:type="dxa"/>
          </w:tcPr>
          <w:p w:rsidRPr="00CD1D49" w:rsidR="00404689" w:rsidP="00E41E6C" w:rsidRDefault="00404689" w14:paraId="39BD57B0" w14:textId="77777777">
            <w:pPr>
              <w:rPr>
                <w:rFonts w:ascii="Arial" w:hAnsi="Arial" w:cs="Arial"/>
              </w:rPr>
            </w:pPr>
            <w:r w:rsidRPr="00CD1D49">
              <w:rPr>
                <w:rFonts w:ascii="Arial" w:hAnsi="Arial" w:cs="Arial"/>
              </w:rPr>
              <w:t xml:space="preserve">Equivocal </w:t>
            </w:r>
          </w:p>
        </w:tc>
        <w:tc>
          <w:tcPr>
            <w:tcW w:w="1573" w:type="dxa"/>
          </w:tcPr>
          <w:p w:rsidRPr="00CD1D49" w:rsidR="00404689" w:rsidP="00E41E6C" w:rsidRDefault="00404689" w14:paraId="2FD9DCDF" w14:textId="77777777">
            <w:pPr>
              <w:rPr>
                <w:rFonts w:ascii="Arial" w:hAnsi="Arial" w:cs="Arial"/>
              </w:rPr>
            </w:pPr>
            <w:r w:rsidRPr="00CD1D49">
              <w:rPr>
                <w:rFonts w:ascii="Arial" w:hAnsi="Arial" w:cs="Arial"/>
              </w:rPr>
              <w:t>Reactive</w:t>
            </w:r>
          </w:p>
        </w:tc>
        <w:tc>
          <w:tcPr>
            <w:tcW w:w="1624" w:type="dxa"/>
          </w:tcPr>
          <w:p w:rsidRPr="00CD1D49" w:rsidR="00404689" w:rsidP="00E41E6C" w:rsidRDefault="00404689" w14:paraId="53FB2576" w14:textId="77777777">
            <w:pPr>
              <w:rPr>
                <w:rFonts w:ascii="Arial" w:hAnsi="Arial" w:cs="Arial"/>
              </w:rPr>
            </w:pPr>
            <w:r w:rsidRPr="00CD1D49">
              <w:rPr>
                <w:rFonts w:ascii="Arial" w:hAnsi="Arial" w:cs="Arial"/>
              </w:rPr>
              <w:t>Nonreactive</w:t>
            </w:r>
          </w:p>
        </w:tc>
        <w:tc>
          <w:tcPr>
            <w:tcW w:w="6660" w:type="dxa"/>
          </w:tcPr>
          <w:p w:rsidRPr="00CD1D49" w:rsidR="00404689" w:rsidP="00E41E6C" w:rsidRDefault="00404689" w14:paraId="64D90086" w14:textId="77777777">
            <w:pPr>
              <w:rPr>
                <w:rFonts w:ascii="Arial" w:hAnsi="Arial" w:cs="Arial"/>
              </w:rPr>
            </w:pPr>
            <w:r w:rsidRPr="00CD1D49">
              <w:rPr>
                <w:rFonts w:ascii="Arial" w:hAnsi="Arial" w:cs="Arial"/>
              </w:rPr>
              <w:t>Indeterminate for syphilis infection; potentially early infection or false positive.</w:t>
            </w:r>
          </w:p>
          <w:p w:rsidRPr="00CD1D49" w:rsidR="00404689" w:rsidP="00E41E6C" w:rsidRDefault="00404689" w14:paraId="73F5FAA7" w14:textId="77777777">
            <w:pPr>
              <w:rPr>
                <w:rFonts w:ascii="Arial" w:hAnsi="Arial" w:cs="Arial"/>
              </w:rPr>
            </w:pPr>
            <w:r w:rsidRPr="00CD1D49">
              <w:rPr>
                <w:rFonts w:ascii="Arial" w:hAnsi="Arial" w:cs="Arial"/>
              </w:rPr>
              <w:t xml:space="preserve">Recommend additional testing consistent with clinical history </w:t>
            </w:r>
            <w:proofErr w:type="gramStart"/>
            <w:r w:rsidRPr="00CD1D49">
              <w:rPr>
                <w:rFonts w:ascii="Arial" w:hAnsi="Arial" w:cs="Arial"/>
              </w:rPr>
              <w:t>findings.*</w:t>
            </w:r>
            <w:proofErr w:type="gramEnd"/>
          </w:p>
        </w:tc>
      </w:tr>
    </w:tbl>
    <w:p w:rsidRPr="00F04AB8" w:rsidR="00F04AB8" w:rsidP="00CD1D49" w:rsidRDefault="00404689" w14:paraId="340495D7" w14:textId="310093EA">
      <w:pPr>
        <w:pStyle w:val="AZNormalBody"/>
      </w:pPr>
      <w:r w:rsidRPr="00F04AB8">
        <w:t>*Specimen may have been collected before the production of detectable antibody.</w:t>
      </w:r>
    </w:p>
    <w:p w:rsidR="00F04AB8" w:rsidP="00CD1D49" w:rsidRDefault="00404689" w14:paraId="13DE5011" w14:textId="77777777">
      <w:pPr>
        <w:pStyle w:val="AZNormalBody"/>
      </w:pPr>
      <w:r w:rsidRPr="00F04AB8">
        <w:t>Since antibodies may be undetectable in early stages of syphilis, if recent infection is suspected, submit a convalescent specimen in 2-4 weeks.</w:t>
      </w:r>
      <w:r w:rsidR="00F04AB8">
        <w:t xml:space="preserve"> </w:t>
      </w:r>
    </w:p>
    <w:p w:rsidRPr="00F04AB8" w:rsidR="00404689" w:rsidP="00CD1D49" w:rsidRDefault="00404689" w14:paraId="7BFBD60E" w14:textId="19C774F3">
      <w:pPr>
        <w:pStyle w:val="AZNormalBody"/>
      </w:pPr>
      <w:r w:rsidRPr="00F04AB8">
        <w:t>If patient is pregnant, consider submitting convalescent serum in 1 week. Another specimen may be submitted 1-2 weeks later if results are negative and infection is suspected.</w:t>
      </w:r>
    </w:p>
    <w:p w:rsidRPr="00F04AB8" w:rsidR="00404689" w:rsidP="00CD1D49" w:rsidRDefault="00404689" w14:paraId="1ADDFC42" w14:textId="77777777">
      <w:pPr>
        <w:pStyle w:val="AZNormalBody"/>
      </w:pPr>
      <w:r w:rsidRPr="00F04AB8">
        <w:rPr>
          <w:rFonts w:ascii="Sylfaen" w:hAnsi="Sylfaen" w:cs="Sylfaen"/>
          <w:vertAlign w:val="superscript"/>
        </w:rPr>
        <w:t>ⴕ</w:t>
      </w:r>
      <w:r w:rsidRPr="00F04AB8">
        <w:t xml:space="preserve">Clinical evaluation should be performed to identify current signs and symptoms or </w:t>
      </w:r>
      <w:proofErr w:type="gramStart"/>
      <w:r w:rsidRPr="00F04AB8">
        <w:t>past history</w:t>
      </w:r>
      <w:proofErr w:type="gramEnd"/>
      <w:r w:rsidRPr="00F04AB8">
        <w:t xml:space="preserve"> of infection. </w:t>
      </w:r>
    </w:p>
    <w:p w:rsidRPr="00F04AB8" w:rsidR="00404689" w:rsidP="00CD1D49" w:rsidRDefault="00404689" w14:paraId="4EFC6951" w14:textId="77777777">
      <w:pPr>
        <w:pStyle w:val="AZNormalBody"/>
      </w:pPr>
      <w:r w:rsidRPr="00F04AB8">
        <w:t xml:space="preserve">The predictive value of a reactive </w:t>
      </w:r>
      <w:r w:rsidRPr="00F04AB8" w:rsidR="00A50A19">
        <w:t>RPR</w:t>
      </w:r>
      <w:r w:rsidRPr="00F04AB8">
        <w:t xml:space="preserve"> test in the serologic diagnosis of syphilis is increased when combined with a reactive treponemal test. Interpretation of results must be used in conjunction with the clinical signs and symptoms, medical </w:t>
      </w:r>
      <w:r w:rsidRPr="00F04AB8" w:rsidR="00A50A19">
        <w:t>history,</w:t>
      </w:r>
      <w:r w:rsidRPr="00F04AB8">
        <w:t xml:space="preserve"> and other clinical/laboratory findings.</w:t>
      </w:r>
    </w:p>
    <w:p w:rsidRPr="00F04AB8" w:rsidR="00404689" w:rsidP="00CD1D49" w:rsidRDefault="00404689" w14:paraId="5E60B161" w14:textId="1441D3DC">
      <w:pPr>
        <w:pStyle w:val="AZNormalBody"/>
      </w:pPr>
      <w:r w:rsidRPr="00F04AB8">
        <w:t>Multiplex Immunoassay (MIA)</w:t>
      </w:r>
      <w:r w:rsidR="00F04AB8">
        <w:t xml:space="preserve"> </w:t>
      </w:r>
      <w:r w:rsidRPr="00F04AB8">
        <w:t>= IgG/IgM treponemal antibodies</w:t>
      </w:r>
      <w:r w:rsidR="00F04AB8">
        <w:t>.</w:t>
      </w:r>
    </w:p>
    <w:p w:rsidRPr="00F04AB8" w:rsidR="00404689" w:rsidP="00CD1D49" w:rsidRDefault="00A50A19" w14:paraId="3E81D0F9" w14:textId="760AB800">
      <w:pPr>
        <w:pStyle w:val="AZNormalBody"/>
      </w:pPr>
      <w:r w:rsidRPr="00F04AB8">
        <w:t>Rapid Plasma</w:t>
      </w:r>
      <w:r w:rsidRPr="00F04AB8" w:rsidR="00404689">
        <w:t xml:space="preserve"> Reagin (</w:t>
      </w:r>
      <w:r w:rsidRPr="00F04AB8">
        <w:t>RPR</w:t>
      </w:r>
      <w:r w:rsidRPr="00F04AB8" w:rsidR="00404689">
        <w:t>)</w:t>
      </w:r>
      <w:r w:rsidR="00F04AB8">
        <w:t xml:space="preserve"> </w:t>
      </w:r>
      <w:r w:rsidRPr="00F04AB8" w:rsidR="00404689">
        <w:t xml:space="preserve">= </w:t>
      </w:r>
      <w:proofErr w:type="gramStart"/>
      <w:r w:rsidRPr="00F04AB8" w:rsidR="00404689">
        <w:t>Non-treponemal</w:t>
      </w:r>
      <w:proofErr w:type="gramEnd"/>
      <w:r w:rsidRPr="00F04AB8" w:rsidR="00404689">
        <w:t xml:space="preserve"> antibodies</w:t>
      </w:r>
      <w:r w:rsidR="00F04AB8">
        <w:t>.</w:t>
      </w:r>
    </w:p>
    <w:p w:rsidRPr="00F04AB8" w:rsidR="006C335F" w:rsidP="00CD1D49" w:rsidRDefault="00404689" w14:paraId="06522695" w14:textId="3C695C24">
      <w:pPr>
        <w:pStyle w:val="AZNormalBody"/>
      </w:pPr>
      <w:r w:rsidRPr="00F04AB8">
        <w:rPr>
          <w:i/>
          <w:iCs/>
        </w:rPr>
        <w:t>Treponemal Pallidum</w:t>
      </w:r>
      <w:r w:rsidRPr="00F04AB8">
        <w:t xml:space="preserve"> Particle Agglutination (TP-PA) = Supplemental testing for treponemal antibodies</w:t>
      </w:r>
      <w:r w:rsidR="00F04AB8">
        <w:t>.</w:t>
      </w:r>
    </w:p>
    <w:sectPr w:rsidRPr="00F04AB8" w:rsidR="006C335F" w:rsidSect="00CD2353">
      <w:foot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0E35" w:rsidRDefault="00240E35" w14:paraId="64FC7C54" w14:textId="77777777">
      <w:r>
        <w:separator/>
      </w:r>
    </w:p>
  </w:endnote>
  <w:endnote w:type="continuationSeparator" w:id="0">
    <w:p w:rsidR="00240E35" w:rsidRDefault="00240E35" w14:paraId="72A9FF3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-Condense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D78BF" w:rsidR="000D72DB" w:rsidP="00CD2353" w:rsidRDefault="000D72DB" w14:paraId="77E70A70" w14:textId="4B0153C1">
    <w:pPr>
      <w:pStyle w:val="Header"/>
      <w:jc w:val="right"/>
      <w:rPr>
        <w:rFonts w:ascii="Arial" w:hAnsi="Arial" w:cs="Arial"/>
      </w:rPr>
    </w:pPr>
    <w:r w:rsidRPr="004D78BF">
      <w:rPr>
        <w:rFonts w:ascii="Arial" w:hAnsi="Arial" w:cs="Arial"/>
      </w:rPr>
      <w:t>AZ.071</w:t>
    </w:r>
    <w:r w:rsidRPr="004D78BF" w:rsidR="00322CA8">
      <w:rPr>
        <w:rFonts w:ascii="Arial" w:hAnsi="Arial" w:cs="Arial"/>
      </w:rPr>
      <w:tab/>
    </w:r>
    <w:r w:rsidRPr="004D78BF" w:rsidR="00322CA8">
      <w:rPr>
        <w:rFonts w:ascii="Arial" w:hAnsi="Arial" w:cs="Arial"/>
      </w:rPr>
      <w:t xml:space="preserve">Page </w:t>
    </w:r>
    <w:r w:rsidRPr="004D78BF" w:rsidR="00322CA8">
      <w:rPr>
        <w:rFonts w:ascii="Arial" w:hAnsi="Arial" w:cs="Arial"/>
        <w:b/>
        <w:bCs/>
      </w:rPr>
      <w:fldChar w:fldCharType="begin"/>
    </w:r>
    <w:r w:rsidRPr="004D78BF" w:rsidR="00322CA8">
      <w:rPr>
        <w:rFonts w:ascii="Arial" w:hAnsi="Arial" w:cs="Arial"/>
        <w:b/>
        <w:bCs/>
      </w:rPr>
      <w:instrText xml:space="preserve"> PAGE  \* Arabic  \* MERGEFORMAT </w:instrText>
    </w:r>
    <w:r w:rsidRPr="004D78BF" w:rsidR="00322CA8">
      <w:rPr>
        <w:rFonts w:ascii="Arial" w:hAnsi="Arial" w:cs="Arial"/>
        <w:b/>
        <w:bCs/>
      </w:rPr>
      <w:fldChar w:fldCharType="separate"/>
    </w:r>
    <w:r w:rsidRPr="004D78BF" w:rsidR="00322CA8">
      <w:rPr>
        <w:rFonts w:ascii="Arial" w:hAnsi="Arial" w:cs="Arial"/>
        <w:b/>
        <w:bCs/>
        <w:noProof/>
      </w:rPr>
      <w:t>1</w:t>
    </w:r>
    <w:r w:rsidRPr="004D78BF" w:rsidR="00322CA8">
      <w:rPr>
        <w:rFonts w:ascii="Arial" w:hAnsi="Arial" w:cs="Arial"/>
        <w:b/>
        <w:bCs/>
      </w:rPr>
      <w:fldChar w:fldCharType="end"/>
    </w:r>
    <w:r w:rsidRPr="004D78BF" w:rsidR="00322CA8">
      <w:rPr>
        <w:rFonts w:ascii="Arial" w:hAnsi="Arial" w:cs="Arial"/>
      </w:rPr>
      <w:t xml:space="preserve"> of </w:t>
    </w:r>
    <w:r w:rsidRPr="004D78BF" w:rsidR="00322CA8">
      <w:rPr>
        <w:rFonts w:ascii="Arial" w:hAnsi="Arial" w:cs="Arial"/>
        <w:b/>
        <w:bCs/>
      </w:rPr>
      <w:fldChar w:fldCharType="begin"/>
    </w:r>
    <w:r w:rsidRPr="004D78BF" w:rsidR="00322CA8">
      <w:rPr>
        <w:rFonts w:ascii="Arial" w:hAnsi="Arial" w:cs="Arial"/>
        <w:b/>
        <w:bCs/>
      </w:rPr>
      <w:instrText xml:space="preserve"> NUMPAGES  \* Arabic  \* MERGEFORMAT </w:instrText>
    </w:r>
    <w:r w:rsidRPr="004D78BF" w:rsidR="00322CA8">
      <w:rPr>
        <w:rFonts w:ascii="Arial" w:hAnsi="Arial" w:cs="Arial"/>
        <w:b/>
        <w:bCs/>
      </w:rPr>
      <w:fldChar w:fldCharType="separate"/>
    </w:r>
    <w:r w:rsidRPr="004D78BF" w:rsidR="00322CA8">
      <w:rPr>
        <w:rFonts w:ascii="Arial" w:hAnsi="Arial" w:cs="Arial"/>
        <w:b/>
        <w:bCs/>
        <w:noProof/>
      </w:rPr>
      <w:t>2</w:t>
    </w:r>
    <w:r w:rsidRPr="004D78BF" w:rsidR="00322CA8">
      <w:rPr>
        <w:rFonts w:ascii="Arial" w:hAnsi="Arial" w:cs="Arial"/>
        <w:b/>
        <w:bCs/>
      </w:rPr>
      <w:fldChar w:fldCharType="end"/>
    </w:r>
    <w:r w:rsidRPr="004D78BF" w:rsidR="00322CA8">
      <w:rPr>
        <w:rFonts w:ascii="Arial" w:hAnsi="Arial" w:cs="Arial"/>
        <w:b/>
        <w:bCs/>
      </w:rPr>
      <w:tab/>
    </w:r>
    <w:r w:rsidRPr="004D78BF" w:rsidR="00322CA8">
      <w:rPr>
        <w:rFonts w:ascii="Arial" w:hAnsi="Arial" w:cs="Arial"/>
      </w:rPr>
      <w:t xml:space="preserve">Rev </w:t>
    </w:r>
    <w:r w:rsidRPr="004D78BF" w:rsidR="00A7662F">
      <w:rPr>
        <w:rFonts w:ascii="Arial" w:hAnsi="Arial" w:cs="Arial"/>
      </w:rPr>
      <w:t>01/29/2025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0E35" w:rsidRDefault="00240E35" w14:paraId="33648D3A" w14:textId="77777777">
      <w:r>
        <w:separator/>
      </w:r>
    </w:p>
  </w:footnote>
  <w:footnote w:type="continuationSeparator" w:id="0">
    <w:p w:rsidR="00240E35" w:rsidRDefault="00240E35" w14:paraId="6965E309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F6E7C"/>
    <w:multiLevelType w:val="hybridMultilevel"/>
    <w:tmpl w:val="D42AD64A"/>
    <w:lvl w:ilvl="0" w:tplc="5FA81F7C">
      <w:start w:val="1"/>
      <w:numFmt w:val="bullet"/>
      <w:pStyle w:val="AZListParagraph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AA14EC4"/>
    <w:multiLevelType w:val="hybridMultilevel"/>
    <w:tmpl w:val="E4DC629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1C910A61"/>
    <w:multiLevelType w:val="hybridMultilevel"/>
    <w:tmpl w:val="9BEE6DE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C9C43FF"/>
    <w:multiLevelType w:val="hybridMultilevel"/>
    <w:tmpl w:val="53F44E58"/>
    <w:lvl w:ilvl="0" w:tplc="89DA188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E270000"/>
    <w:multiLevelType w:val="hybridMultilevel"/>
    <w:tmpl w:val="474E01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E6B24CA"/>
    <w:multiLevelType w:val="hybridMultilevel"/>
    <w:tmpl w:val="2B1AC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46DA9"/>
    <w:multiLevelType w:val="hybridMultilevel"/>
    <w:tmpl w:val="96B4DD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0C508D2"/>
    <w:multiLevelType w:val="hybridMultilevel"/>
    <w:tmpl w:val="338E254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9910851"/>
    <w:multiLevelType w:val="hybridMultilevel"/>
    <w:tmpl w:val="10AC10BC"/>
    <w:lvl w:ilvl="0" w:tplc="615C96F0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B4552E"/>
    <w:multiLevelType w:val="hybridMultilevel"/>
    <w:tmpl w:val="2F0688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8904BA4"/>
    <w:multiLevelType w:val="hybridMultilevel"/>
    <w:tmpl w:val="9A48587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37D0353"/>
    <w:multiLevelType w:val="hybridMultilevel"/>
    <w:tmpl w:val="52ACF9C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B130CA1"/>
    <w:multiLevelType w:val="hybridMultilevel"/>
    <w:tmpl w:val="80887DE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00D034B"/>
    <w:multiLevelType w:val="hybridMultilevel"/>
    <w:tmpl w:val="EAFC723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25D2C9B"/>
    <w:multiLevelType w:val="hybridMultilevel"/>
    <w:tmpl w:val="A1689AC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2976A6D"/>
    <w:multiLevelType w:val="hybridMultilevel"/>
    <w:tmpl w:val="84DA2910"/>
    <w:lvl w:ilvl="0" w:tplc="B700F6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72F605E9"/>
    <w:multiLevelType w:val="hybridMultilevel"/>
    <w:tmpl w:val="3BD0F0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7467FAE"/>
    <w:multiLevelType w:val="hybridMultilevel"/>
    <w:tmpl w:val="AC5246F6"/>
    <w:lvl w:ilvl="0" w:tplc="73B0B18A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7B0F3184"/>
    <w:multiLevelType w:val="hybridMultilevel"/>
    <w:tmpl w:val="4BEC06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47531108">
    <w:abstractNumId w:val="7"/>
  </w:num>
  <w:num w:numId="2" w16cid:durableId="2042045239">
    <w:abstractNumId w:val="15"/>
  </w:num>
  <w:num w:numId="3" w16cid:durableId="576793001">
    <w:abstractNumId w:val="17"/>
  </w:num>
  <w:num w:numId="4" w16cid:durableId="1825660297">
    <w:abstractNumId w:val="3"/>
  </w:num>
  <w:num w:numId="5" w16cid:durableId="728769452">
    <w:abstractNumId w:val="15"/>
  </w:num>
  <w:num w:numId="6" w16cid:durableId="394397986">
    <w:abstractNumId w:val="4"/>
  </w:num>
  <w:num w:numId="7" w16cid:durableId="1251697352">
    <w:abstractNumId w:val="11"/>
  </w:num>
  <w:num w:numId="8" w16cid:durableId="545528856">
    <w:abstractNumId w:val="13"/>
  </w:num>
  <w:num w:numId="9" w16cid:durableId="345835238">
    <w:abstractNumId w:val="9"/>
  </w:num>
  <w:num w:numId="10" w16cid:durableId="279387387">
    <w:abstractNumId w:val="14"/>
  </w:num>
  <w:num w:numId="11" w16cid:durableId="1820682807">
    <w:abstractNumId w:val="2"/>
  </w:num>
  <w:num w:numId="12" w16cid:durableId="2143305604">
    <w:abstractNumId w:val="16"/>
  </w:num>
  <w:num w:numId="13" w16cid:durableId="1223979793">
    <w:abstractNumId w:val="8"/>
  </w:num>
  <w:num w:numId="14" w16cid:durableId="1277251976">
    <w:abstractNumId w:val="0"/>
  </w:num>
  <w:num w:numId="15" w16cid:durableId="793408460">
    <w:abstractNumId w:val="1"/>
  </w:num>
  <w:num w:numId="16" w16cid:durableId="1037782208">
    <w:abstractNumId w:val="5"/>
  </w:num>
  <w:num w:numId="17" w16cid:durableId="368186625">
    <w:abstractNumId w:val="18"/>
  </w:num>
  <w:num w:numId="18" w16cid:durableId="1150243573">
    <w:abstractNumId w:val="10"/>
  </w:num>
  <w:num w:numId="19" w16cid:durableId="1876379661">
    <w:abstractNumId w:val="12"/>
  </w:num>
  <w:num w:numId="20" w16cid:durableId="2115395084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5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151"/>
    <w:rsid w:val="00004AD7"/>
    <w:rsid w:val="00005418"/>
    <w:rsid w:val="00013B9D"/>
    <w:rsid w:val="00054C39"/>
    <w:rsid w:val="00070A22"/>
    <w:rsid w:val="000B0F25"/>
    <w:rsid w:val="000B2E5B"/>
    <w:rsid w:val="000D72DB"/>
    <w:rsid w:val="000E43C5"/>
    <w:rsid w:val="000F7D06"/>
    <w:rsid w:val="00105806"/>
    <w:rsid w:val="0012074D"/>
    <w:rsid w:val="00162BAB"/>
    <w:rsid w:val="00180593"/>
    <w:rsid w:val="00194C08"/>
    <w:rsid w:val="001E5AB3"/>
    <w:rsid w:val="001F010A"/>
    <w:rsid w:val="00211434"/>
    <w:rsid w:val="00222B0E"/>
    <w:rsid w:val="0022659D"/>
    <w:rsid w:val="00240E35"/>
    <w:rsid w:val="00256B84"/>
    <w:rsid w:val="002747CE"/>
    <w:rsid w:val="002A7023"/>
    <w:rsid w:val="002C5B3E"/>
    <w:rsid w:val="002E1907"/>
    <w:rsid w:val="00316F67"/>
    <w:rsid w:val="00322CA8"/>
    <w:rsid w:val="003243EE"/>
    <w:rsid w:val="003270A8"/>
    <w:rsid w:val="00344772"/>
    <w:rsid w:val="003525DD"/>
    <w:rsid w:val="00355425"/>
    <w:rsid w:val="003756DB"/>
    <w:rsid w:val="003B2FD2"/>
    <w:rsid w:val="003B5B76"/>
    <w:rsid w:val="003D00A0"/>
    <w:rsid w:val="003D0140"/>
    <w:rsid w:val="003E144B"/>
    <w:rsid w:val="003E4BEC"/>
    <w:rsid w:val="00404689"/>
    <w:rsid w:val="00407495"/>
    <w:rsid w:val="004401D6"/>
    <w:rsid w:val="00461151"/>
    <w:rsid w:val="00473B66"/>
    <w:rsid w:val="00490A3A"/>
    <w:rsid w:val="0049316A"/>
    <w:rsid w:val="004A32D7"/>
    <w:rsid w:val="004C46E5"/>
    <w:rsid w:val="004D0F12"/>
    <w:rsid w:val="004D78BF"/>
    <w:rsid w:val="005024A0"/>
    <w:rsid w:val="0054254D"/>
    <w:rsid w:val="00575D51"/>
    <w:rsid w:val="005A398E"/>
    <w:rsid w:val="005D08FB"/>
    <w:rsid w:val="005D463F"/>
    <w:rsid w:val="005E5A8C"/>
    <w:rsid w:val="005E6BE4"/>
    <w:rsid w:val="005F01A8"/>
    <w:rsid w:val="00604FF1"/>
    <w:rsid w:val="006211B6"/>
    <w:rsid w:val="00667537"/>
    <w:rsid w:val="006B1C75"/>
    <w:rsid w:val="006C335F"/>
    <w:rsid w:val="006D5AD0"/>
    <w:rsid w:val="006E1E58"/>
    <w:rsid w:val="006E520C"/>
    <w:rsid w:val="006F16D8"/>
    <w:rsid w:val="007072CF"/>
    <w:rsid w:val="00711218"/>
    <w:rsid w:val="007124E7"/>
    <w:rsid w:val="0072570C"/>
    <w:rsid w:val="00742490"/>
    <w:rsid w:val="00774021"/>
    <w:rsid w:val="00787777"/>
    <w:rsid w:val="007D2EB9"/>
    <w:rsid w:val="007F08B0"/>
    <w:rsid w:val="0082338D"/>
    <w:rsid w:val="008472EA"/>
    <w:rsid w:val="00863EAE"/>
    <w:rsid w:val="008926EB"/>
    <w:rsid w:val="00897FD1"/>
    <w:rsid w:val="008A09CA"/>
    <w:rsid w:val="008A53EB"/>
    <w:rsid w:val="008A5407"/>
    <w:rsid w:val="008C0D08"/>
    <w:rsid w:val="008D0172"/>
    <w:rsid w:val="008E4196"/>
    <w:rsid w:val="00905C02"/>
    <w:rsid w:val="00943CC3"/>
    <w:rsid w:val="00953FE2"/>
    <w:rsid w:val="0096600A"/>
    <w:rsid w:val="009C027B"/>
    <w:rsid w:val="00A17FC1"/>
    <w:rsid w:val="00A50A19"/>
    <w:rsid w:val="00A63DCD"/>
    <w:rsid w:val="00A67B7E"/>
    <w:rsid w:val="00A749E5"/>
    <w:rsid w:val="00A7662F"/>
    <w:rsid w:val="00AA4CD9"/>
    <w:rsid w:val="00AB44AC"/>
    <w:rsid w:val="00AC1CC3"/>
    <w:rsid w:val="00AD67AA"/>
    <w:rsid w:val="00AF2895"/>
    <w:rsid w:val="00AF7BC0"/>
    <w:rsid w:val="00B15C46"/>
    <w:rsid w:val="00B419C5"/>
    <w:rsid w:val="00B46121"/>
    <w:rsid w:val="00B8181D"/>
    <w:rsid w:val="00B83AE6"/>
    <w:rsid w:val="00B845F8"/>
    <w:rsid w:val="00B944F2"/>
    <w:rsid w:val="00BA5EF0"/>
    <w:rsid w:val="00BB013B"/>
    <w:rsid w:val="00BB6BD8"/>
    <w:rsid w:val="00BD760A"/>
    <w:rsid w:val="00BE0362"/>
    <w:rsid w:val="00C0126E"/>
    <w:rsid w:val="00C0500D"/>
    <w:rsid w:val="00C6212A"/>
    <w:rsid w:val="00C7793F"/>
    <w:rsid w:val="00CA0052"/>
    <w:rsid w:val="00CC312A"/>
    <w:rsid w:val="00CD1D49"/>
    <w:rsid w:val="00CD2353"/>
    <w:rsid w:val="00CF7CF9"/>
    <w:rsid w:val="00D0185A"/>
    <w:rsid w:val="00D2455E"/>
    <w:rsid w:val="00D24FA7"/>
    <w:rsid w:val="00D6122B"/>
    <w:rsid w:val="00D944AA"/>
    <w:rsid w:val="00DB1429"/>
    <w:rsid w:val="00DB71D8"/>
    <w:rsid w:val="00DC29B7"/>
    <w:rsid w:val="00DF33FD"/>
    <w:rsid w:val="00E024E4"/>
    <w:rsid w:val="00E23020"/>
    <w:rsid w:val="00E32A41"/>
    <w:rsid w:val="00E41E6C"/>
    <w:rsid w:val="00E85068"/>
    <w:rsid w:val="00E91384"/>
    <w:rsid w:val="00EA2C34"/>
    <w:rsid w:val="00EA6301"/>
    <w:rsid w:val="00EC520D"/>
    <w:rsid w:val="00F00CA8"/>
    <w:rsid w:val="00F04AB8"/>
    <w:rsid w:val="00F3669F"/>
    <w:rsid w:val="00F437AF"/>
    <w:rsid w:val="00FC603A"/>
    <w:rsid w:val="00FF24BA"/>
    <w:rsid w:val="57D08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5659D3"/>
  <w15:chartTrackingRefBased/>
  <w15:docId w15:val="{4F90EC71-FC1F-48F7-A219-63EEBE61604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63DCD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3DC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3DC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3D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3D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3D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3D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3D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3D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3D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3DC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63DCD"/>
    <w:pPr>
      <w:tabs>
        <w:tab w:val="center" w:pos="4680"/>
        <w:tab w:val="right" w:pos="9360"/>
      </w:tabs>
      <w:spacing w:after="0" w:line="240" w:lineRule="auto"/>
    </w:pPr>
  </w:style>
  <w:style w:type="character" w:styleId="PageNumber">
    <w:name w:val="page number"/>
    <w:basedOn w:val="DefaultParagraphFont"/>
    <w:rsid w:val="00461151"/>
  </w:style>
  <w:style w:type="character" w:styleId="Hyperlink">
    <w:name w:val="Hyperlink"/>
    <w:rsid w:val="00461151"/>
    <w:rPr>
      <w:color w:val="0000FF"/>
      <w:u w:val="single"/>
    </w:rPr>
  </w:style>
  <w:style w:type="paragraph" w:styleId="BalloonText">
    <w:name w:val="Balloon Text"/>
    <w:basedOn w:val="Normal"/>
    <w:semiHidden/>
    <w:rsid w:val="006E52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3DCD"/>
    <w:pPr>
      <w:ind w:left="720"/>
      <w:contextualSpacing/>
    </w:pPr>
  </w:style>
  <w:style w:type="character" w:styleId="HeaderChar" w:customStyle="1">
    <w:name w:val="Header Char"/>
    <w:basedOn w:val="DefaultParagraphFont"/>
    <w:link w:val="Header"/>
    <w:uiPriority w:val="99"/>
    <w:rsid w:val="00A63DCD"/>
    <w:rPr>
      <w:rFonts w:asciiTheme="minorHAnsi" w:hAnsiTheme="minorHAnsi" w:eastAsiaTheme="minorHAnsi" w:cstheme="minorBidi"/>
      <w:kern w:val="2"/>
      <w:sz w:val="24"/>
      <w:szCs w:val="24"/>
      <w14:ligatures w14:val="standardContextual"/>
    </w:rPr>
  </w:style>
  <w:style w:type="table" w:styleId="TableGrid">
    <w:name w:val="Table Grid"/>
    <w:basedOn w:val="TableNormal"/>
    <w:uiPriority w:val="39"/>
    <w:rsid w:val="00BB013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Comment Reference"/>
    <w:rsid w:val="00EC520D"/>
    <w:rPr>
      <w:sz w:val="16"/>
      <w:szCs w:val="16"/>
    </w:rPr>
  </w:style>
  <w:style w:type="paragraph" w:styleId="CommentText">
    <w:name w:val="Comment Text"/>
    <w:basedOn w:val="Normal"/>
    <w:link w:val="CommentTextChar"/>
    <w:rsid w:val="00EC520D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EC520D"/>
  </w:style>
  <w:style w:type="paragraph" w:styleId="CommentSubject">
    <w:name w:val="Comment Subject"/>
    <w:basedOn w:val="CommentText"/>
    <w:next w:val="CommentText"/>
    <w:link w:val="CommentSubjectChar"/>
    <w:rsid w:val="00EC520D"/>
    <w:rPr>
      <w:b/>
      <w:bCs/>
    </w:rPr>
  </w:style>
  <w:style w:type="character" w:styleId="CommentSubjectChar" w:customStyle="1">
    <w:name w:val="Comment Subject Char"/>
    <w:link w:val="CommentSubject"/>
    <w:rsid w:val="00EC520D"/>
    <w:rPr>
      <w:b/>
      <w:bCs/>
    </w:rPr>
  </w:style>
  <w:style w:type="character" w:styleId="UnresolvedMention">
    <w:name w:val="Unresolved Mention"/>
    <w:uiPriority w:val="99"/>
    <w:semiHidden/>
    <w:unhideWhenUsed/>
    <w:rsid w:val="00A50A19"/>
    <w:rPr>
      <w:color w:val="605E5C"/>
      <w:shd w:val="clear" w:color="auto" w:fill="E1DFDD"/>
    </w:rPr>
  </w:style>
  <w:style w:type="character" w:styleId="BulletTextIndentChar" w:customStyle="1">
    <w:name w:val="Bullet Text Indent Char"/>
    <w:link w:val="BulletTextIndent"/>
    <w:locked/>
    <w:rsid w:val="0022659D"/>
    <w:rPr>
      <w:rFonts w:ascii="HelveticaNeue-Condensed" w:hAnsi="HelveticaNeue-Condensed" w:cs="HelveticaNeue-Condensed"/>
      <w:color w:val="000000"/>
    </w:rPr>
  </w:style>
  <w:style w:type="paragraph" w:styleId="BulletTextIndent" w:customStyle="1">
    <w:name w:val="Bullet Text Indent"/>
    <w:basedOn w:val="Normal"/>
    <w:link w:val="BulletTextIndentChar"/>
    <w:rsid w:val="0022659D"/>
    <w:pPr>
      <w:widowControl w:val="0"/>
      <w:tabs>
        <w:tab w:val="left" w:pos="612"/>
      </w:tabs>
      <w:autoSpaceDE w:val="0"/>
      <w:autoSpaceDN w:val="0"/>
      <w:adjustRightInd w:val="0"/>
      <w:spacing w:line="288" w:lineRule="auto"/>
      <w:ind w:left="612" w:hanging="252"/>
    </w:pPr>
    <w:rPr>
      <w:rFonts w:ascii="HelveticaNeue-Condensed" w:hAnsi="HelveticaNeue-Condensed" w:cs="HelveticaNeue-Condensed"/>
      <w:color w:val="000000"/>
      <w:sz w:val="20"/>
      <w:szCs w:val="20"/>
    </w:rPr>
  </w:style>
  <w:style w:type="character" w:styleId="FollowedHyperlink">
    <w:name w:val="FollowedHyperlink"/>
    <w:rsid w:val="004401D6"/>
    <w:rPr>
      <w:color w:val="954F72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A63DCD"/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character" w:styleId="Heading2Char" w:customStyle="1">
    <w:name w:val="Heading 2 Char"/>
    <w:basedOn w:val="DefaultParagraphFont"/>
    <w:link w:val="Heading2"/>
    <w:uiPriority w:val="9"/>
    <w:rsid w:val="00A63DCD"/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63DCD"/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63DCD"/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63DCD"/>
    <w:rPr>
      <w:rFonts w:asciiTheme="minorHAnsi" w:hAnsiTheme="minorHAnsi"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63DCD"/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63DCD"/>
    <w:rPr>
      <w:rFonts w:asciiTheme="minorHAnsi" w:hAnsiTheme="minorHAnsi"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63DCD"/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63DCD"/>
    <w:rPr>
      <w:rFonts w:asciiTheme="minorHAnsi" w:hAnsiTheme="minorHAnsi"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A63DC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63DCD"/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3D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63DCD"/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A63DC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63DCD"/>
    <w:rPr>
      <w:rFonts w:asciiTheme="minorHAnsi" w:hAnsiTheme="minorHAnsi" w:eastAsia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63D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3DC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63DCD"/>
    <w:rPr>
      <w:rFonts w:asciiTheme="minorHAnsi" w:hAnsiTheme="minorHAnsi" w:eastAsia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A63DCD"/>
    <w:rPr>
      <w:b/>
      <w:bCs/>
      <w:smallCaps/>
      <w:color w:val="0F4761" w:themeColor="accent1" w:themeShade="BF"/>
      <w:spacing w:val="5"/>
    </w:rPr>
  </w:style>
  <w:style w:type="character" w:styleId="FooterChar" w:customStyle="1">
    <w:name w:val="Footer Char"/>
    <w:basedOn w:val="DefaultParagraphFont"/>
    <w:link w:val="Footer"/>
    <w:uiPriority w:val="99"/>
    <w:rsid w:val="00A63DCD"/>
    <w:rPr>
      <w:rFonts w:asciiTheme="minorHAnsi" w:hAnsiTheme="minorHAnsi" w:eastAsiaTheme="minorHAnsi" w:cstheme="minorBidi"/>
      <w:kern w:val="2"/>
      <w:sz w:val="24"/>
      <w:szCs w:val="24"/>
      <w14:ligatures w14:val="standardContextual"/>
    </w:rPr>
  </w:style>
  <w:style w:type="paragraph" w:styleId="AZHeading1" w:customStyle="1">
    <w:name w:val="AZ Heading 1"/>
    <w:basedOn w:val="Heading1"/>
    <w:link w:val="AZHeading1Char"/>
    <w:qFormat/>
    <w:rsid w:val="00A63DCD"/>
    <w:pPr>
      <w:spacing w:after="0"/>
      <w:jc w:val="center"/>
    </w:pPr>
    <w:rPr>
      <w:rFonts w:ascii="Arial" w:hAnsi="Arial" w:cs="Arial"/>
      <w:b/>
      <w:bCs/>
      <w:color w:val="0F406B"/>
      <w:sz w:val="32"/>
      <w:szCs w:val="32"/>
    </w:rPr>
  </w:style>
  <w:style w:type="character" w:styleId="AZHeading1Char" w:customStyle="1">
    <w:name w:val="AZ Heading 1 Char"/>
    <w:basedOn w:val="DefaultParagraphFont"/>
    <w:link w:val="AZHeading1"/>
    <w:rsid w:val="00A63DCD"/>
    <w:rPr>
      <w:rFonts w:ascii="Arial" w:hAnsi="Arial" w:cs="Arial" w:eastAsiaTheme="majorEastAsia"/>
      <w:b/>
      <w:bCs/>
      <w:color w:val="0F406B"/>
      <w:kern w:val="2"/>
      <w:sz w:val="32"/>
      <w:szCs w:val="32"/>
      <w14:ligatures w14:val="standardContextual"/>
    </w:rPr>
  </w:style>
  <w:style w:type="paragraph" w:styleId="AZHeading2" w:customStyle="1">
    <w:name w:val="AZ Heading 2"/>
    <w:basedOn w:val="Heading2"/>
    <w:link w:val="AZHeading2Char"/>
    <w:qFormat/>
    <w:rsid w:val="00A63DCD"/>
    <w:pPr>
      <w:spacing w:after="0"/>
    </w:pPr>
    <w:rPr>
      <w:rFonts w:ascii="Arial" w:hAnsi="Arial" w:cs="Arial"/>
      <w:color w:val="0F406B"/>
      <w:sz w:val="24"/>
    </w:rPr>
  </w:style>
  <w:style w:type="character" w:styleId="AZHeading2Char" w:customStyle="1">
    <w:name w:val="AZ Heading 2 Char"/>
    <w:basedOn w:val="Heading2Char"/>
    <w:link w:val="AZHeading2"/>
    <w:rsid w:val="00A63DCD"/>
    <w:rPr>
      <w:rFonts w:ascii="Arial" w:hAnsi="Arial" w:cs="Arial" w:eastAsiaTheme="majorEastAsia"/>
      <w:color w:val="0F406B"/>
      <w:kern w:val="2"/>
      <w:sz w:val="24"/>
      <w:szCs w:val="32"/>
      <w14:ligatures w14:val="standardContextual"/>
    </w:rPr>
  </w:style>
  <w:style w:type="paragraph" w:styleId="AZNormalTitle" w:customStyle="1">
    <w:name w:val="AZ Normal Title"/>
    <w:basedOn w:val="Normal"/>
    <w:qFormat/>
    <w:rsid w:val="00A63DCD"/>
    <w:pPr>
      <w:spacing w:after="0"/>
      <w:jc w:val="center"/>
    </w:pPr>
    <w:rPr>
      <w:rFonts w:ascii="Arial" w:hAnsi="Arial" w:cs="Arial"/>
    </w:rPr>
  </w:style>
  <w:style w:type="paragraph" w:styleId="AZNormalBody" w:customStyle="1">
    <w:name w:val="AZ Normal Body"/>
    <w:basedOn w:val="Normal"/>
    <w:qFormat/>
    <w:rsid w:val="00A63DCD"/>
    <w:rPr>
      <w:rFonts w:ascii="Arial" w:hAnsi="Arial" w:cs="Arial"/>
    </w:rPr>
  </w:style>
  <w:style w:type="paragraph" w:styleId="AZListParagraph" w:customStyle="1">
    <w:name w:val="AZ List Paragraph"/>
    <w:basedOn w:val="ListParagraph"/>
    <w:qFormat/>
    <w:rsid w:val="00A63DCD"/>
    <w:pPr>
      <w:numPr>
        <w:numId w:val="14"/>
      </w:numPr>
      <w:spacing w:after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yperlink" Target="https://www.michigan.gov/mdhhs/-/media/Project/Websites/mdhhs/BOL/Forms/MDHHS-6084_ViroSeroTestReq.dotx?rev=7ee912fa2c074656b5e2bb5bd88a30f1&amp;hash=E96F68F11CADCA61F62E14A4868920FE" TargetMode="External" Id="Rf7b458e9e2414308" /><Relationship Type="http://schemas.openxmlformats.org/officeDocument/2006/relationships/hyperlink" Target="https://www.michigan.gov/mdhhs/-/media/Project/Websites/mdhhs/BOL/Forms/DCH-0812_Serum.docx?rev=3f39416adcb24412b306550ce098e61f&amp;hash=285DAED87E4AC53556EE592D51389959" TargetMode="External" Id="R3f76765880b34fc2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nifasm\OneDrive%20-%20State%20of%20Michigan%20DTMB\ADA%20Form%20Changes\AZ_Test_Template_2026_0415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F649235A-F6F3-4FAD-ACBC-7CCF1FEFC34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AZ_Test_Template_2026_0415</ap:Template>
  <ap:Application>Microsoft Word for the web</ap:Application>
  <ap:DocSecurity>0</ap:DocSecurity>
  <ap:ScaleCrop>false</ap:ScaleCrop>
  <ap:Company>State Of Michigan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AZ.071 Syphilis Antibody Determination</dc:title>
  <dc:subject/>
  <dc:creator>Administrator</dc:creator>
  <keywords/>
  <dc:description>AZ.071 Syphilis Antibody Determination (TP-PA)</dc:description>
  <lastModifiedBy>Ribeiro, Bruno (DHHS-Contractor)</lastModifiedBy>
  <revision>4</revision>
  <lastPrinted>2018-05-15T15:10:00.0000000Z</lastPrinted>
  <dcterms:created xsi:type="dcterms:W3CDTF">2026-05-08T15:56:00.0000000Z</dcterms:created>
  <dcterms:modified xsi:type="dcterms:W3CDTF">2026-05-18T16:33:53.8806044Z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2021-11-01T15:48:32Z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681d3a66-fbda-44fc-91ea-72c058e534b1</vt:lpwstr>
  </property>
  <property fmtid="{D5CDD505-2E9C-101B-9397-08002B2CF9AE}" pid="8" name="MSIP_Label_3a2fed65-62e7-46ea-af74-187e0c17143a_ContentBits">
    <vt:lpwstr>0</vt:lpwstr>
  </property>
</Properties>
</file>