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6C9A6296">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7A308067" w:rsidR="00181519" w:rsidRPr="00AA4A74" w:rsidRDefault="000238AA" w:rsidP="009E1B37">
      <w:pPr>
        <w:pStyle w:val="BodyText"/>
        <w:jc w:val="center"/>
        <w:rPr>
          <w:sz w:val="24"/>
          <w:szCs w:val="24"/>
        </w:rPr>
      </w:pPr>
      <w:r>
        <w:rPr>
          <w:sz w:val="24"/>
          <w:szCs w:val="24"/>
        </w:rPr>
        <w:t>Materials Management Division</w:t>
      </w:r>
    </w:p>
    <w:p w14:paraId="43968EAB" w14:textId="439613B5" w:rsidR="00181519" w:rsidRDefault="000238AA" w:rsidP="009E1B37">
      <w:pPr>
        <w:pStyle w:val="Heading1"/>
        <w:jc w:val="center"/>
      </w:pPr>
      <w:r>
        <w:t>Solid Waste Management Local Government Guarantee for Closure, Post-Closure, and Corrective Action</w:t>
      </w:r>
    </w:p>
    <w:p w14:paraId="76DF2F49" w14:textId="77777777" w:rsidR="0039741B" w:rsidRPr="0039741B" w:rsidRDefault="0039741B" w:rsidP="0039741B">
      <w:pPr>
        <w:spacing w:after="160" w:line="259" w:lineRule="auto"/>
        <w:jc w:val="center"/>
      </w:pPr>
      <w:r w:rsidRPr="0039741B">
        <w:t>(The local government guarantee for closure, post-closure, and corrective action authorized in Michigan Compiled Law (MCL) 324.11523a of the Natural Resources and Environmental Protection Act, 1994 PA 451, as amended, must be worded as follows, except where instructions or options in fields are to be replaced with the relevant information.)</w:t>
      </w:r>
    </w:p>
    <w:p w14:paraId="5F3CCA98"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 xml:space="preserve">Guarantee made this </w:t>
      </w:r>
      <w:r w:rsidRPr="002F4C55">
        <w:fldChar w:fldCharType="begin">
          <w:ffData>
            <w:name w:val="Text1"/>
            <w:enabled/>
            <w:calcOnExit w:val="0"/>
            <w:textInput>
              <w:default w:val="DATE"/>
            </w:textInput>
          </w:ffData>
        </w:fldChar>
      </w:r>
      <w:bookmarkStart w:id="0" w:name="Text1"/>
      <w:r w:rsidRPr="002F4C55">
        <w:instrText xml:space="preserve"> FORMTEXT </w:instrText>
      </w:r>
      <w:r w:rsidRPr="002F4C55">
        <w:fldChar w:fldCharType="separate"/>
      </w:r>
      <w:r w:rsidRPr="002F4C55">
        <w:rPr>
          <w:noProof/>
        </w:rPr>
        <w:t>DATE</w:t>
      </w:r>
      <w:r w:rsidRPr="002F4C55">
        <w:fldChar w:fldCharType="end"/>
      </w:r>
      <w:bookmarkEnd w:id="0"/>
      <w:r w:rsidRPr="002F4C55">
        <w:t xml:space="preserve"> by </w:t>
      </w:r>
      <w:r w:rsidRPr="002F4C55">
        <w:fldChar w:fldCharType="begin">
          <w:ffData>
            <w:name w:val="Text2"/>
            <w:enabled/>
            <w:calcOnExit w:val="0"/>
            <w:textInput>
              <w:default w:val="NAME OF GUARANTEEING ENTITY"/>
            </w:textInput>
          </w:ffData>
        </w:fldChar>
      </w:r>
      <w:bookmarkStart w:id="1" w:name="Text2"/>
      <w:r w:rsidRPr="002F4C55">
        <w:instrText xml:space="preserve"> FORMTEXT </w:instrText>
      </w:r>
      <w:r w:rsidRPr="002F4C55">
        <w:fldChar w:fldCharType="separate"/>
      </w:r>
      <w:r w:rsidRPr="002F4C55">
        <w:rPr>
          <w:noProof/>
        </w:rPr>
        <w:t>NAME OF GUARANTEEING ENTITY</w:t>
      </w:r>
      <w:r w:rsidRPr="002F4C55">
        <w:fldChar w:fldCharType="end"/>
      </w:r>
      <w:bookmarkEnd w:id="1"/>
      <w:r w:rsidRPr="002F4C55">
        <w:t xml:space="preserve">, a local government organized under the laws of the State of Michigan, herein referred to as Guarantor, to the Michigan Department of Environment, Great Lakes, and Energy, herein referred to as Department, on behalf of </w:t>
      </w:r>
      <w:r w:rsidRPr="002F4C55">
        <w:fldChar w:fldCharType="begin">
          <w:ffData>
            <w:name w:val="OwnerOperator"/>
            <w:enabled/>
            <w:calcOnExit/>
            <w:textInput>
              <w:default w:val="OWNER/OPERATOR"/>
            </w:textInput>
          </w:ffData>
        </w:fldChar>
      </w:r>
      <w:bookmarkStart w:id="2" w:name="OwnerOperator"/>
      <w:r w:rsidRPr="002F4C55">
        <w:instrText xml:space="preserve"> FORMTEXT </w:instrText>
      </w:r>
      <w:r w:rsidRPr="002F4C55">
        <w:fldChar w:fldCharType="separate"/>
      </w:r>
      <w:r w:rsidRPr="002F4C55">
        <w:rPr>
          <w:noProof/>
        </w:rPr>
        <w:t>OWNER/OPERATOR</w:t>
      </w:r>
      <w:r w:rsidRPr="002F4C55">
        <w:fldChar w:fldCharType="end"/>
      </w:r>
      <w:bookmarkEnd w:id="2"/>
      <w:r w:rsidRPr="002F4C55">
        <w:t xml:space="preserve"> of </w:t>
      </w:r>
      <w:r w:rsidRPr="002F4C55">
        <w:fldChar w:fldCharType="begin">
          <w:ffData>
            <w:name w:val="Text4"/>
            <w:enabled/>
            <w:calcOnExit w:val="0"/>
            <w:textInput>
              <w:default w:val="FACILITY ADDRESS"/>
            </w:textInput>
          </w:ffData>
        </w:fldChar>
      </w:r>
      <w:bookmarkStart w:id="3" w:name="Text4"/>
      <w:r w:rsidRPr="002F4C55">
        <w:instrText xml:space="preserve"> FORMTEXT </w:instrText>
      </w:r>
      <w:r w:rsidRPr="002F4C55">
        <w:fldChar w:fldCharType="separate"/>
      </w:r>
      <w:r w:rsidRPr="002F4C55">
        <w:rPr>
          <w:noProof/>
        </w:rPr>
        <w:t>FACILITY ADDRESS</w:t>
      </w:r>
      <w:r w:rsidRPr="002F4C55">
        <w:fldChar w:fldCharType="end"/>
      </w:r>
      <w:bookmarkEnd w:id="3"/>
      <w:r w:rsidRPr="002F4C55">
        <w:t>.</w:t>
      </w:r>
    </w:p>
    <w:p w14:paraId="3A351E2F"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22D3B94F"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jc w:val="center"/>
      </w:pPr>
      <w:r w:rsidRPr="002F4C55">
        <w:t>Recitals</w:t>
      </w:r>
    </w:p>
    <w:p w14:paraId="2F78C313"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46E06C4B"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ab/>
        <w:t xml:space="preserve">Guarantor has a substantial governmental relationship with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and will benefit from the operation and activities of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w:t>
      </w:r>
    </w:p>
    <w:p w14:paraId="2AA76286"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727B6A05"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ab/>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owns or operates the following solid waste management facility(ies) covered by this Guarantee:  </w:t>
      </w:r>
      <w:r w:rsidRPr="002F4C55">
        <w:fldChar w:fldCharType="begin">
          <w:ffData>
            <w:name w:val="Text8"/>
            <w:enabled/>
            <w:calcOnExit w:val="0"/>
            <w:textInput>
              <w:default w:val="LIST FOR EACH FACILITY: NAME, ADDRESS, AND WDS NUMBER"/>
            </w:textInput>
          </w:ffData>
        </w:fldChar>
      </w:r>
      <w:bookmarkStart w:id="4" w:name="Text8"/>
      <w:r w:rsidRPr="002F4C55">
        <w:instrText xml:space="preserve"> FORMTEXT </w:instrText>
      </w:r>
      <w:r w:rsidRPr="002F4C55">
        <w:fldChar w:fldCharType="separate"/>
      </w:r>
      <w:r w:rsidRPr="002F4C55">
        <w:rPr>
          <w:noProof/>
        </w:rPr>
        <w:t>LIST FOR EACH FACILITY: NAME, ADDRESS, AND WDS NUMBER</w:t>
      </w:r>
      <w:r w:rsidRPr="002F4C55">
        <w:fldChar w:fldCharType="end"/>
      </w:r>
      <w:bookmarkEnd w:id="4"/>
    </w:p>
    <w:p w14:paraId="039F3CA1"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0EE594E1"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ab/>
        <w:t>"Closure plans," "post-closure plans," and “corrective action plans” as used in this Guarantee mean the plans maintained as required by R 299.4444, R 299.4446, and R 299.4447 of the Michigan Administrative Code (MAC) for closure, post-closure, and corrective action of the facility(ies) identified above.</w:t>
      </w:r>
    </w:p>
    <w:p w14:paraId="188D2B8C"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7ACC48FC"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ab/>
        <w:t>“Local government” as used in this Guarantee means a city, a village, a township, a county, an authority established by law, or a public utility owned by a city, village, township, or county.</w:t>
      </w:r>
    </w:p>
    <w:p w14:paraId="0A18F56B"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7A8BC5BC"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ab/>
        <w:t>For the purpose of providing financial assurance for closure, post-closure, and corrective action of the facility(ies) described above, and in consideration of the foregoing, Guarantor agrees with the Department as follows:</w:t>
      </w:r>
    </w:p>
    <w:p w14:paraId="5F2DC285"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798C40A7"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Guarantor is a local government duly organized, validly existing and in good standing under the laws of the State of Michigan, has the requisite power and authority to own its property and assets, to carry on its business as now being conducted by it and to execute, deliver and perform this Guarantee.</w:t>
      </w:r>
    </w:p>
    <w:p w14:paraId="14994CCB"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5823C09E"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The execution, delivery and performance of this Guarantee and the consummation of the transactions herein contemplated have been duly authorized by all requisite  action on the part of the Guarantor and will not violate any provision of law, any order of any court or other agency of government or the articles of incorporation or by-laws of Guarantor or any indenture, agreement or other instrument to which it is a party or by which it or any of its </w:t>
      </w:r>
      <w:r w:rsidRPr="002F4C55">
        <w:lastRenderedPageBreak/>
        <w:t>property is bound, or be in conflict with or result in a breach of or constitute (with due notice and/or lapse of time) a default under any such indenture, agreement or other instrument.</w:t>
      </w:r>
    </w:p>
    <w:p w14:paraId="6EA14211"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3B7069C2" w14:textId="77777777" w:rsidR="002F4C55" w:rsidRPr="002F4C55" w:rsidRDefault="002F4C55" w:rsidP="002F4C55">
      <w:pPr>
        <w:numPr>
          <w:ilvl w:val="0"/>
          <w:numId w:val="2"/>
        </w:numPr>
        <w:tabs>
          <w:tab w:val="left" w:pos="0"/>
          <w:tab w:val="left" w:pos="18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Guarantor meets or exceeds the local government financial test criteria and agrees to provide the Director of the Department with the items specified in 40 CFR 258.74(f)(3)(A) through (D) within 180 days after the close of each fiscal year until termination of this Guarantee.</w:t>
      </w:r>
    </w:p>
    <w:p w14:paraId="6295FA63" w14:textId="77777777" w:rsidR="002F4C55" w:rsidRPr="002F4C55" w:rsidRDefault="002F4C55" w:rsidP="002F4C55">
      <w:pPr>
        <w:tabs>
          <w:tab w:val="left" w:pos="0"/>
          <w:tab w:val="left" w:pos="180"/>
          <w:tab w:val="left" w:pos="1080"/>
          <w:tab w:val="left" w:pos="4320"/>
          <w:tab w:val="left" w:pos="5040"/>
          <w:tab w:val="left" w:pos="5760"/>
          <w:tab w:val="left" w:pos="6480"/>
          <w:tab w:val="left" w:pos="7200"/>
          <w:tab w:val="left" w:pos="7920"/>
          <w:tab w:val="left" w:pos="8640"/>
        </w:tabs>
        <w:suppressAutoHyphens/>
        <w:ind w:left="1080"/>
      </w:pPr>
    </w:p>
    <w:p w14:paraId="2EB389AC"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guarantees to the Department, that in the event that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fails to perform closure, post-closure, and/or corrective action at the above facility(ies) in accordance with the closure, post-closure, and corrective action plans and applicable operating license conditions and rules whenever required to do so, Guarantor shall perform or pay a third party to perform closure, post-closure, and/or corrective action as required, or shall establish a trust fund as specified by the Director of the Department in the name of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for the portion of the current closure, post-closure, and corrective action cost estimate(s) covered by this Guarantee.</w:t>
      </w:r>
    </w:p>
    <w:p w14:paraId="38B55FEE"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212DFC23"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agrees that if, at the end of any fiscal year before termination of this Guarantee, Guarantor fails to meet the local government financial test criteria, Guarantor shall send within 180 days, by certified mail, notice to the Director of the Department and to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that Guarantor intends to provide acceptable alternate financial assurance specified by the Director of the Department in the name of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Within 210 days after the end of such fiscal year, Guarantor shall establish such financial assurance unless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has done so.</w:t>
      </w:r>
    </w:p>
    <w:p w14:paraId="7C2E99E9"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22D37FA0"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agrees to notify the Director of the Department and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by certified mail of a voluntary or involuntary proceeding under Title II (Bankruptcy), U.S. Code, naming Guarantor as debtor, within 10 days of commencement of the proceedings.</w:t>
      </w:r>
    </w:p>
    <w:p w14:paraId="26D3D9E5"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285AE595"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agrees to remain bound under this Guarantee notwithstanding any or all of the following: amendment or modification of the closure, post-closure, or corrective action plans; amendment or modification of the operating license; the extension or reduction of the time of performance of closure, post-closure, or corrective action; or any other modification or alteration of any obligation of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pursuant to Part 115, Solid Waste Management, of Michigan's Natural Resources and Environmental Protection Act, 1994 PA 451, as amended, and its Administrative Rules.</w:t>
      </w:r>
    </w:p>
    <w:p w14:paraId="4226523B"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1257E42F" w14:textId="45237D60"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agrees to remain bound under this Guarantee for so long as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must comply with the applicable financial assurance requirements of Michigan Compiled Law (MCL) 324.11523a for the above listed facility(ies), except that Guarantor may cancel this Guarantee by sending notice by certified mail to the Director of the Department and to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The cancellation will become effective no </w:t>
      </w:r>
      <w:r w:rsidRPr="002F4C55">
        <w:lastRenderedPageBreak/>
        <w:t xml:space="preserve">earlier than 120 days after receipt of such notice by the Department and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as evidenced by the return receipts.</w:t>
      </w:r>
    </w:p>
    <w:p w14:paraId="50D993F9"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agrees that if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xml:space="preserve"> fails to provide alternate financial assurance as specified in MCL 324.11523a, as applicable, and obtain written approval of such assurance from the Director of the Department within 90 days after a notice of cancellation by the Guarantor is received by the Director of the Department, Guarantor shall provide such alternate financial assurance in the name of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w:t>
      </w:r>
    </w:p>
    <w:p w14:paraId="460E9A70"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39479281"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 xml:space="preserve">Guarantor expressly waives notice of acceptance of this Guarantee by the Department and by </w:t>
      </w:r>
      <w:r w:rsidRPr="002F4C55">
        <w:fldChar w:fldCharType="begin"/>
      </w:r>
      <w:r w:rsidRPr="002F4C55">
        <w:instrText xml:space="preserve"> REF  OwnerOperator </w:instrText>
      </w:r>
      <w:r w:rsidRPr="002F4C55">
        <w:fldChar w:fldCharType="separate"/>
      </w:r>
      <w:r w:rsidRPr="002F4C55">
        <w:rPr>
          <w:noProof/>
        </w:rPr>
        <w:t>OWNER/OPERATOR</w:t>
      </w:r>
      <w:r w:rsidRPr="002F4C55">
        <w:fldChar w:fldCharType="end"/>
      </w:r>
      <w:r w:rsidRPr="002F4C55">
        <w:t>.  Guarantor also expressly waives notice of amendments or modifications of the closure, post-closure, corrective action plans, and amendments or modifications of the facility operating license(s).</w:t>
      </w:r>
    </w:p>
    <w:p w14:paraId="09CC3436"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79FBAAD2"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As to any litigation in connection with this Guarantee, Guarantor consents to and confers jurisdiction on courts of the State of Michigan, and expressly waives any objections as to venue in any court of the State of Michigan.</w:t>
      </w:r>
    </w:p>
    <w:p w14:paraId="46D524C3"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79F02B06" w14:textId="77777777" w:rsidR="002F4C55" w:rsidRPr="002F4C55" w:rsidRDefault="002F4C55" w:rsidP="002F4C55">
      <w:pPr>
        <w:numPr>
          <w:ilvl w:val="0"/>
          <w:numId w:val="2"/>
        </w:numPr>
        <w:tabs>
          <w:tab w:val="left" w:pos="0"/>
          <w:tab w:val="left" w:pos="1080"/>
          <w:tab w:val="left" w:pos="4320"/>
          <w:tab w:val="left" w:pos="5040"/>
          <w:tab w:val="left" w:pos="5760"/>
          <w:tab w:val="left" w:pos="6480"/>
          <w:tab w:val="left" w:pos="7200"/>
          <w:tab w:val="left" w:pos="7920"/>
          <w:tab w:val="left" w:pos="8640"/>
        </w:tabs>
        <w:suppressAutoHyphens/>
        <w:spacing w:after="160" w:line="259" w:lineRule="auto"/>
        <w:ind w:left="1080" w:hanging="720"/>
      </w:pPr>
      <w:r w:rsidRPr="002F4C55">
        <w:t>This Guarantee shall be governed by and construed in accordance with the laws of the State of Michigan.</w:t>
      </w:r>
    </w:p>
    <w:p w14:paraId="0DAF6B63" w14:textId="77777777" w:rsidR="002F4C55" w:rsidRPr="002F4C55" w:rsidRDefault="002F4C55" w:rsidP="002F4C55">
      <w:pPr>
        <w:tabs>
          <w:tab w:val="left" w:pos="0"/>
          <w:tab w:val="left" w:pos="1080"/>
          <w:tab w:val="left" w:pos="4320"/>
          <w:tab w:val="left" w:pos="5040"/>
          <w:tab w:val="left" w:pos="5760"/>
          <w:tab w:val="left" w:pos="6480"/>
          <w:tab w:val="left" w:pos="7200"/>
          <w:tab w:val="left" w:pos="7920"/>
          <w:tab w:val="left" w:pos="8640"/>
        </w:tabs>
        <w:suppressAutoHyphens/>
        <w:ind w:left="1080"/>
      </w:pPr>
    </w:p>
    <w:p w14:paraId="1DB75F27"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r w:rsidRPr="002F4C55">
        <w:t>I hereby certify that the wording of this Guarantee is identical to the wording of the model local government guarantee specified by the Department as such Guarantee was specified on the date first above written.</w:t>
      </w:r>
    </w:p>
    <w:p w14:paraId="1ECA18C3"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4A24B027"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7C86B4A9" w14:textId="77777777" w:rsidR="002F4C55" w:rsidRPr="002F4C55" w:rsidRDefault="002F4C55" w:rsidP="002F4C55">
      <w:pPr>
        <w:tabs>
          <w:tab w:val="left" w:pos="4320"/>
        </w:tabs>
        <w:suppressAutoHyphens/>
      </w:pPr>
      <w:r w:rsidRPr="002F4C55">
        <w:t xml:space="preserve">Effective date: </w:t>
      </w:r>
      <w:r w:rsidRPr="002F4C55">
        <w:rPr>
          <w:u w:val="single"/>
        </w:rPr>
        <w:fldChar w:fldCharType="begin">
          <w:ffData>
            <w:name w:val="Text9"/>
            <w:enabled/>
            <w:calcOnExit w:val="0"/>
            <w:textInput>
              <w:default w:val="DATE"/>
            </w:textInput>
          </w:ffData>
        </w:fldChar>
      </w:r>
      <w:bookmarkStart w:id="5" w:name="Text9"/>
      <w:r w:rsidRPr="002F4C55">
        <w:rPr>
          <w:u w:val="single"/>
        </w:rPr>
        <w:instrText xml:space="preserve"> FORMTEXT </w:instrText>
      </w:r>
      <w:r w:rsidRPr="002F4C55">
        <w:rPr>
          <w:u w:val="single"/>
        </w:rPr>
      </w:r>
      <w:r w:rsidRPr="002F4C55">
        <w:rPr>
          <w:u w:val="single"/>
        </w:rPr>
        <w:fldChar w:fldCharType="separate"/>
      </w:r>
      <w:r w:rsidRPr="002F4C55">
        <w:rPr>
          <w:noProof/>
          <w:u w:val="single"/>
        </w:rPr>
        <w:t>DATE</w:t>
      </w:r>
      <w:r w:rsidRPr="002F4C55">
        <w:rPr>
          <w:u w:val="single"/>
        </w:rPr>
        <w:fldChar w:fldCharType="end"/>
      </w:r>
      <w:bookmarkEnd w:id="5"/>
      <w:r w:rsidRPr="002F4C55">
        <w:rPr>
          <w:u w:val="single"/>
        </w:rPr>
        <w:tab/>
      </w:r>
    </w:p>
    <w:p w14:paraId="56CDB832"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2D20394C"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rPr>
          <w:u w:val="single"/>
        </w:rPr>
      </w:pPr>
      <w:r w:rsidRPr="002F4C55">
        <w:rPr>
          <w:u w:val="single"/>
        </w:rPr>
        <w:fldChar w:fldCharType="begin">
          <w:ffData>
            <w:name w:val="Text10"/>
            <w:enabled/>
            <w:calcOnExit w:val="0"/>
            <w:textInput>
              <w:default w:val="NAME OF GUARANTOR"/>
            </w:textInput>
          </w:ffData>
        </w:fldChar>
      </w:r>
      <w:bookmarkStart w:id="6" w:name="Text10"/>
      <w:r w:rsidRPr="002F4C55">
        <w:rPr>
          <w:u w:val="single"/>
        </w:rPr>
        <w:instrText xml:space="preserve"> FORMTEXT </w:instrText>
      </w:r>
      <w:r w:rsidRPr="002F4C55">
        <w:rPr>
          <w:u w:val="single"/>
        </w:rPr>
      </w:r>
      <w:r w:rsidRPr="002F4C55">
        <w:rPr>
          <w:u w:val="single"/>
        </w:rPr>
        <w:fldChar w:fldCharType="separate"/>
      </w:r>
      <w:r w:rsidRPr="002F4C55">
        <w:rPr>
          <w:noProof/>
          <w:u w:val="single"/>
        </w:rPr>
        <w:t>NAME OF GUARANTOR</w:t>
      </w:r>
      <w:r w:rsidRPr="002F4C55">
        <w:rPr>
          <w:u w:val="single"/>
        </w:rPr>
        <w:fldChar w:fldCharType="end"/>
      </w:r>
      <w:bookmarkEnd w:id="6"/>
      <w:r w:rsidRPr="002F4C55">
        <w:rPr>
          <w:u w:val="single"/>
        </w:rPr>
        <w:tab/>
      </w:r>
    </w:p>
    <w:p w14:paraId="4842D800"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rPr>
          <w:u w:val="single"/>
        </w:rPr>
      </w:pPr>
    </w:p>
    <w:p w14:paraId="4765451A"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1318CCC4" w14:textId="77777777" w:rsidR="002F4C55" w:rsidRPr="002F4C55" w:rsidRDefault="002F4C55" w:rsidP="002F4C55">
      <w:pPr>
        <w:tabs>
          <w:tab w:val="left" w:pos="4320"/>
        </w:tabs>
        <w:suppressAutoHyphens/>
        <w:rPr>
          <w:u w:val="single"/>
        </w:rPr>
      </w:pPr>
      <w:r w:rsidRPr="002F4C55">
        <w:rPr>
          <w:u w:val="single"/>
        </w:rPr>
        <w:tab/>
      </w:r>
    </w:p>
    <w:p w14:paraId="39743845" w14:textId="77777777" w:rsidR="002F4C55" w:rsidRPr="002F4C55" w:rsidRDefault="002F4C55" w:rsidP="002F4C55">
      <w:pPr>
        <w:tabs>
          <w:tab w:val="center" w:pos="1800"/>
        </w:tabs>
        <w:suppressAutoHyphens/>
      </w:pPr>
      <w:r w:rsidRPr="002F4C55">
        <w:tab/>
        <w:t>Authorized Signature for Guarantor</w:t>
      </w:r>
    </w:p>
    <w:p w14:paraId="3A9F8A54" w14:textId="77777777" w:rsidR="002F4C55" w:rsidRPr="002F4C55" w:rsidRDefault="002F4C55" w:rsidP="002F4C55">
      <w:pPr>
        <w:tabs>
          <w:tab w:val="center" w:pos="1800"/>
        </w:tabs>
        <w:suppressAutoHyphens/>
      </w:pPr>
    </w:p>
    <w:p w14:paraId="158A9B80" w14:textId="77777777" w:rsidR="002F4C55" w:rsidRPr="002F4C55" w:rsidRDefault="002F4C55" w:rsidP="002F4C55">
      <w:pPr>
        <w:tabs>
          <w:tab w:val="left" w:pos="4320"/>
        </w:tabs>
        <w:suppressAutoHyphens/>
        <w:rPr>
          <w:u w:val="single"/>
        </w:rPr>
      </w:pPr>
      <w:r w:rsidRPr="002F4C55">
        <w:rPr>
          <w:u w:val="single"/>
        </w:rPr>
        <w:fldChar w:fldCharType="begin">
          <w:ffData>
            <w:name w:val="Text11"/>
            <w:enabled/>
            <w:calcOnExit w:val="0"/>
            <w:textInput>
              <w:default w:val="NAME OF PERSON SIGNING"/>
            </w:textInput>
          </w:ffData>
        </w:fldChar>
      </w:r>
      <w:bookmarkStart w:id="7" w:name="Text11"/>
      <w:r w:rsidRPr="002F4C55">
        <w:rPr>
          <w:u w:val="single"/>
        </w:rPr>
        <w:instrText xml:space="preserve"> FORMTEXT </w:instrText>
      </w:r>
      <w:r w:rsidRPr="002F4C55">
        <w:rPr>
          <w:u w:val="single"/>
        </w:rPr>
      </w:r>
      <w:r w:rsidRPr="002F4C55">
        <w:rPr>
          <w:u w:val="single"/>
        </w:rPr>
        <w:fldChar w:fldCharType="separate"/>
      </w:r>
      <w:r w:rsidRPr="002F4C55">
        <w:rPr>
          <w:noProof/>
          <w:u w:val="single"/>
        </w:rPr>
        <w:t>NAME OF PERSON SIGNING</w:t>
      </w:r>
      <w:r w:rsidRPr="002F4C55">
        <w:rPr>
          <w:u w:val="single"/>
        </w:rPr>
        <w:fldChar w:fldCharType="end"/>
      </w:r>
      <w:bookmarkEnd w:id="7"/>
      <w:r w:rsidRPr="002F4C55">
        <w:rPr>
          <w:u w:val="single"/>
        </w:rPr>
        <w:tab/>
      </w:r>
    </w:p>
    <w:p w14:paraId="017C2EF5" w14:textId="77777777" w:rsidR="002F4C55" w:rsidRPr="002F4C55" w:rsidRDefault="002F4C55" w:rsidP="002F4C55">
      <w:pPr>
        <w:tabs>
          <w:tab w:val="left" w:pos="4320"/>
        </w:tabs>
        <w:suppressAutoHyphens/>
        <w:rPr>
          <w:u w:val="single"/>
        </w:rPr>
      </w:pPr>
      <w:r w:rsidRPr="002F4C55">
        <w:rPr>
          <w:u w:val="single"/>
        </w:rPr>
        <w:fldChar w:fldCharType="begin">
          <w:ffData>
            <w:name w:val="Text12"/>
            <w:enabled/>
            <w:calcOnExit w:val="0"/>
            <w:textInput>
              <w:default w:val="TITLE"/>
            </w:textInput>
          </w:ffData>
        </w:fldChar>
      </w:r>
      <w:bookmarkStart w:id="8" w:name="Text12"/>
      <w:r w:rsidRPr="002F4C55">
        <w:rPr>
          <w:u w:val="single"/>
        </w:rPr>
        <w:instrText xml:space="preserve"> FORMTEXT </w:instrText>
      </w:r>
      <w:r w:rsidRPr="002F4C55">
        <w:rPr>
          <w:u w:val="single"/>
        </w:rPr>
      </w:r>
      <w:r w:rsidRPr="002F4C55">
        <w:rPr>
          <w:u w:val="single"/>
        </w:rPr>
        <w:fldChar w:fldCharType="separate"/>
      </w:r>
      <w:r w:rsidRPr="002F4C55">
        <w:rPr>
          <w:noProof/>
          <w:u w:val="single"/>
        </w:rPr>
        <w:t>TITLE</w:t>
      </w:r>
      <w:r w:rsidRPr="002F4C55">
        <w:rPr>
          <w:u w:val="single"/>
        </w:rPr>
        <w:fldChar w:fldCharType="end"/>
      </w:r>
      <w:bookmarkEnd w:id="8"/>
      <w:r w:rsidRPr="002F4C55">
        <w:rPr>
          <w:u w:val="single"/>
        </w:rPr>
        <w:tab/>
      </w:r>
    </w:p>
    <w:p w14:paraId="14221BFD"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7B98681D" w14:textId="77777777" w:rsidR="002F4C55" w:rsidRPr="002F4C55" w:rsidRDefault="002F4C55" w:rsidP="002F4C55">
      <w:pPr>
        <w:tabs>
          <w:tab w:val="left" w:pos="0"/>
          <w:tab w:val="left" w:pos="720"/>
          <w:tab w:val="left" w:pos="1440"/>
          <w:tab w:val="left" w:pos="4320"/>
          <w:tab w:val="left" w:pos="5040"/>
          <w:tab w:val="left" w:pos="5760"/>
          <w:tab w:val="left" w:pos="6480"/>
          <w:tab w:val="left" w:pos="7200"/>
          <w:tab w:val="left" w:pos="7920"/>
          <w:tab w:val="left" w:pos="8640"/>
        </w:tabs>
        <w:suppressAutoHyphens/>
      </w:pPr>
    </w:p>
    <w:p w14:paraId="20DF1683" w14:textId="77777777" w:rsidR="002F4C55" w:rsidRPr="002F4C55" w:rsidRDefault="002F4C55" w:rsidP="002F4C55">
      <w:pPr>
        <w:tabs>
          <w:tab w:val="left" w:pos="4320"/>
        </w:tabs>
        <w:suppressAutoHyphens/>
      </w:pPr>
      <w:r w:rsidRPr="002F4C55">
        <w:rPr>
          <w:u w:val="single"/>
        </w:rPr>
        <w:tab/>
      </w:r>
    </w:p>
    <w:p w14:paraId="296F6619" w14:textId="77777777" w:rsidR="002F4C55" w:rsidRDefault="002F4C55" w:rsidP="002F4C55">
      <w:pPr>
        <w:tabs>
          <w:tab w:val="center" w:pos="1800"/>
        </w:tabs>
        <w:suppressAutoHyphens/>
      </w:pPr>
      <w:r w:rsidRPr="002F4C55">
        <w:tab/>
        <w:t>Signature of Witness or Notary</w:t>
      </w:r>
    </w:p>
    <w:p w14:paraId="61927F0C" w14:textId="77777777" w:rsidR="00471CD3" w:rsidRDefault="00471CD3" w:rsidP="002F4C55">
      <w:pPr>
        <w:tabs>
          <w:tab w:val="center" w:pos="1800"/>
        </w:tabs>
        <w:suppressAutoHyphens/>
      </w:pPr>
    </w:p>
    <w:p w14:paraId="246871F2" w14:textId="77777777" w:rsidR="00471CD3" w:rsidRDefault="00471CD3" w:rsidP="002F4C55">
      <w:pPr>
        <w:tabs>
          <w:tab w:val="center" w:pos="1800"/>
        </w:tabs>
        <w:suppressAutoHyphens/>
      </w:pPr>
    </w:p>
    <w:p w14:paraId="61E53B61" w14:textId="77777777" w:rsidR="00471CD3" w:rsidRDefault="00471CD3" w:rsidP="002F4C55">
      <w:pPr>
        <w:tabs>
          <w:tab w:val="center" w:pos="1800"/>
        </w:tabs>
        <w:suppressAutoHyphens/>
      </w:pPr>
    </w:p>
    <w:p w14:paraId="27106EF8" w14:textId="77777777" w:rsidR="00471CD3" w:rsidRDefault="00471CD3" w:rsidP="002F4C55">
      <w:pPr>
        <w:tabs>
          <w:tab w:val="center" w:pos="1800"/>
        </w:tabs>
        <w:suppressAutoHyphens/>
      </w:pPr>
    </w:p>
    <w:p w14:paraId="44D67AEE" w14:textId="77777777" w:rsidR="00471CD3" w:rsidRDefault="00471CD3" w:rsidP="002F4C55">
      <w:pPr>
        <w:tabs>
          <w:tab w:val="center" w:pos="1800"/>
        </w:tabs>
        <w:suppressAutoHyphens/>
      </w:pPr>
    </w:p>
    <w:p w14:paraId="1C34FDB6" w14:textId="77777777" w:rsidR="00471CD3" w:rsidRDefault="00471CD3" w:rsidP="002F4C55">
      <w:pPr>
        <w:tabs>
          <w:tab w:val="center" w:pos="1800"/>
        </w:tabs>
        <w:suppressAutoHyphens/>
      </w:pPr>
    </w:p>
    <w:p w14:paraId="738BFEA4" w14:textId="77777777" w:rsidR="00471CD3" w:rsidRPr="002F4C55" w:rsidRDefault="00471CD3" w:rsidP="002F4C55">
      <w:pPr>
        <w:tabs>
          <w:tab w:val="center" w:pos="1800"/>
        </w:tabs>
        <w:suppressAutoHyphens/>
      </w:pPr>
    </w:p>
    <w:p w14:paraId="7BAAFDBF" w14:textId="0ABAADF7" w:rsidR="006650C8" w:rsidRDefault="00EA370F" w:rsidP="009E1B37">
      <w:pPr>
        <w:rPr>
          <w:sz w:val="22"/>
          <w:szCs w:val="22"/>
        </w:rPr>
      </w:pPr>
      <w:r w:rsidRPr="00EB3888">
        <w:rPr>
          <w:rFonts w:eastAsia="Calibri"/>
        </w:rPr>
        <w:lastRenderedPageBreak/>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4C4EA533" w14:textId="3B4F4E40" w:rsidR="00352811" w:rsidRPr="00163981" w:rsidRDefault="005331A8" w:rsidP="001B477D">
      <w:pPr>
        <w:spacing w:after="160"/>
        <w:ind w:left="360" w:right="270"/>
        <w:rPr>
          <w:iCs/>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0C92D3AC"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471CD3">
      <w:t>5107</w:t>
    </w:r>
    <w:r w:rsidRPr="00745A55">
      <w:t xml:space="preserve">(Rev. </w:t>
    </w:r>
    <w:r w:rsidR="00471CD3">
      <w:t>03</w:t>
    </w:r>
    <w:r w:rsidRPr="00745A55">
      <w:t>/</w:t>
    </w:r>
    <w:r w:rsidR="00471CD3">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E1C25"/>
    <w:multiLevelType w:val="hybridMultilevel"/>
    <w:tmpl w:val="1666A166"/>
    <w:lvl w:ilvl="0" w:tplc="4E3473C0">
      <w:start w:val="1"/>
      <w:numFmt w:val="decimal"/>
      <w:lvlText w:val="%1."/>
      <w:lvlJc w:val="left"/>
      <w:pPr>
        <w:tabs>
          <w:tab w:val="num" w:pos="360"/>
        </w:tabs>
        <w:ind w:left="360" w:hanging="360"/>
      </w:pPr>
      <w:rPr>
        <w:rFonts w:ascii="Arial" w:hAnsi="Arial" w:cs="Arial"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36794221">
    <w:abstractNumId w:val="0"/>
  </w:num>
  <w:num w:numId="2" w16cid:durableId="25618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Wp3TzesQpvz/P8KQdbonRMl/Vr9RAtz2npn4Dg4w6NtejvAXjBNUaNo9NdQydBgBrsVDyYWRAm9tFuHAU24HTA==" w:salt="g2gPf2OcN7gsgaHOrFx5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238AA"/>
    <w:rsid w:val="00056544"/>
    <w:rsid w:val="000B2B67"/>
    <w:rsid w:val="000B6AFE"/>
    <w:rsid w:val="000E748F"/>
    <w:rsid w:val="00102F84"/>
    <w:rsid w:val="0011012F"/>
    <w:rsid w:val="00120375"/>
    <w:rsid w:val="00120B17"/>
    <w:rsid w:val="00154C56"/>
    <w:rsid w:val="00157266"/>
    <w:rsid w:val="00163981"/>
    <w:rsid w:val="001809EF"/>
    <w:rsid w:val="00181519"/>
    <w:rsid w:val="001A2A5F"/>
    <w:rsid w:val="001B477D"/>
    <w:rsid w:val="001C5D3C"/>
    <w:rsid w:val="001D071E"/>
    <w:rsid w:val="001D70E0"/>
    <w:rsid w:val="001E107D"/>
    <w:rsid w:val="001E6CA0"/>
    <w:rsid w:val="00232668"/>
    <w:rsid w:val="00240D6A"/>
    <w:rsid w:val="002470B4"/>
    <w:rsid w:val="00274E28"/>
    <w:rsid w:val="002755F9"/>
    <w:rsid w:val="00277CC3"/>
    <w:rsid w:val="002B0D03"/>
    <w:rsid w:val="002E2FD4"/>
    <w:rsid w:val="002F4C55"/>
    <w:rsid w:val="003047D5"/>
    <w:rsid w:val="00312E90"/>
    <w:rsid w:val="00336E28"/>
    <w:rsid w:val="003465A8"/>
    <w:rsid w:val="00352811"/>
    <w:rsid w:val="003545E0"/>
    <w:rsid w:val="003552D9"/>
    <w:rsid w:val="00355FB5"/>
    <w:rsid w:val="00395714"/>
    <w:rsid w:val="0039741B"/>
    <w:rsid w:val="003C1DB8"/>
    <w:rsid w:val="003E021E"/>
    <w:rsid w:val="00421193"/>
    <w:rsid w:val="00440632"/>
    <w:rsid w:val="00456809"/>
    <w:rsid w:val="00471CD3"/>
    <w:rsid w:val="0048505D"/>
    <w:rsid w:val="004C548D"/>
    <w:rsid w:val="005331A8"/>
    <w:rsid w:val="00534187"/>
    <w:rsid w:val="00547E44"/>
    <w:rsid w:val="005716FD"/>
    <w:rsid w:val="00573407"/>
    <w:rsid w:val="00590FA0"/>
    <w:rsid w:val="00594634"/>
    <w:rsid w:val="0061215E"/>
    <w:rsid w:val="00624946"/>
    <w:rsid w:val="006650C8"/>
    <w:rsid w:val="006F2B87"/>
    <w:rsid w:val="006F7375"/>
    <w:rsid w:val="0072045A"/>
    <w:rsid w:val="00733825"/>
    <w:rsid w:val="00745A55"/>
    <w:rsid w:val="00761E8A"/>
    <w:rsid w:val="007704CF"/>
    <w:rsid w:val="007C35E7"/>
    <w:rsid w:val="00831A90"/>
    <w:rsid w:val="008660FE"/>
    <w:rsid w:val="008B5E98"/>
    <w:rsid w:val="008C615A"/>
    <w:rsid w:val="008F632C"/>
    <w:rsid w:val="00944CF1"/>
    <w:rsid w:val="009463F7"/>
    <w:rsid w:val="00990851"/>
    <w:rsid w:val="009B6868"/>
    <w:rsid w:val="009D3FB8"/>
    <w:rsid w:val="009E1B37"/>
    <w:rsid w:val="00A44B88"/>
    <w:rsid w:val="00A52824"/>
    <w:rsid w:val="00A62A9C"/>
    <w:rsid w:val="00A94D1F"/>
    <w:rsid w:val="00A96407"/>
    <w:rsid w:val="00AA4A74"/>
    <w:rsid w:val="00AA72DE"/>
    <w:rsid w:val="00AD1B79"/>
    <w:rsid w:val="00AE5AA7"/>
    <w:rsid w:val="00AF61C6"/>
    <w:rsid w:val="00B137EB"/>
    <w:rsid w:val="00B14992"/>
    <w:rsid w:val="00B26E1F"/>
    <w:rsid w:val="00B341D7"/>
    <w:rsid w:val="00B51A35"/>
    <w:rsid w:val="00B531E6"/>
    <w:rsid w:val="00B625D0"/>
    <w:rsid w:val="00B828BD"/>
    <w:rsid w:val="00BA547B"/>
    <w:rsid w:val="00BB00AF"/>
    <w:rsid w:val="00BF334C"/>
    <w:rsid w:val="00C35769"/>
    <w:rsid w:val="00C40A21"/>
    <w:rsid w:val="00CA3022"/>
    <w:rsid w:val="00CB55BD"/>
    <w:rsid w:val="00CC1DC7"/>
    <w:rsid w:val="00CE0140"/>
    <w:rsid w:val="00CE205F"/>
    <w:rsid w:val="00D01327"/>
    <w:rsid w:val="00D15DA7"/>
    <w:rsid w:val="00D366DA"/>
    <w:rsid w:val="00D5322E"/>
    <w:rsid w:val="00DB1945"/>
    <w:rsid w:val="00DB5641"/>
    <w:rsid w:val="00DF6280"/>
    <w:rsid w:val="00E0344E"/>
    <w:rsid w:val="00E10B67"/>
    <w:rsid w:val="00E16A2C"/>
    <w:rsid w:val="00E50762"/>
    <w:rsid w:val="00EA370F"/>
    <w:rsid w:val="00EC7ADE"/>
    <w:rsid w:val="00ED442B"/>
    <w:rsid w:val="00EE34AB"/>
    <w:rsid w:val="00F00CD2"/>
    <w:rsid w:val="00F029D1"/>
    <w:rsid w:val="00F26E84"/>
    <w:rsid w:val="00F32BEC"/>
    <w:rsid w:val="00F45EF7"/>
    <w:rsid w:val="00F712B1"/>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9381-73AE-4478-B4F4-FC67A443E39A}">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80596be0-18b3-4e7d-a60e-3bc413c5ad5b"/>
    <ds:schemaRef ds:uri="http://www.w3.org/XML/1998/namespace"/>
    <ds:schemaRef ds:uri="http://purl.org/dc/dcmitype/"/>
  </ds:schemaRefs>
</ds:datastoreItem>
</file>

<file path=customXml/itemProps2.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Solid Waste Management Local Government Guarantee for Closure, Post-Closure, and Corrective Action</vt:lpstr>
    </vt:vector>
  </TitlesOfParts>
  <Company>SOM</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Management Local Government Guarantee for Closure, Post-Closure, and Corrective Action</dc:title>
  <dc:subject/>
  <dc:creator>EGLE-MMD</dc:creator>
  <cp:keywords>eqp5107, solid waste, management, local, government, guarantee, closure, post-closure</cp:keywords>
  <dc:description/>
  <cp:lastModifiedBy>Becsey, Stephanie (EGLE)</cp:lastModifiedBy>
  <cp:revision>43</cp:revision>
  <dcterms:created xsi:type="dcterms:W3CDTF">2021-09-28T20:32:00Z</dcterms:created>
  <dcterms:modified xsi:type="dcterms:W3CDTF">2025-03-11T18:47:00Z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