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A93" w:rsidRPr="009E76B5" w:rsidRDefault="000F2A93" w:rsidP="000F2A93">
      <w:pPr>
        <w:pStyle w:val="Heading1"/>
      </w:pPr>
      <w:bookmarkStart w:id="0" w:name="_Toc426379969"/>
      <w:r>
        <w:rPr>
          <w:bCs w:val="0"/>
        </w:rPr>
        <w:t>FINANCIAL</w:t>
      </w:r>
      <w:r w:rsidRPr="009E76B5">
        <w:t xml:space="preserve"> </w:t>
      </w:r>
      <w:r>
        <w:rPr>
          <w:bCs w:val="0"/>
        </w:rPr>
        <w:t>PLANNING</w:t>
      </w:r>
      <w:r w:rsidRPr="009E76B5">
        <w:t xml:space="preserve">, </w:t>
      </w:r>
      <w:r>
        <w:rPr>
          <w:bCs w:val="0"/>
        </w:rPr>
        <w:t>REPORTING AND SETTLEMENT</w:t>
      </w:r>
      <w:bookmarkEnd w:id="0"/>
    </w:p>
    <w:p w:rsidR="000F2A93" w:rsidRPr="009E76B5" w:rsidRDefault="000F2A93" w:rsidP="000F2A93">
      <w:pPr>
        <w:widowControl/>
        <w:rPr>
          <w:b/>
          <w:bCs/>
          <w:sz w:val="24"/>
        </w:rPr>
      </w:pPr>
    </w:p>
    <w:p w:rsidR="000F2A93" w:rsidRPr="009E76B5" w:rsidRDefault="000F2A93" w:rsidP="000F2A93">
      <w:pPr>
        <w:widowControl/>
        <w:rPr>
          <w:color w:val="0000FF"/>
          <w:sz w:val="24"/>
          <w:u w:val="single"/>
        </w:rPr>
      </w:pPr>
      <w:r w:rsidRPr="009E76B5">
        <w:rPr>
          <w:sz w:val="24"/>
        </w:rPr>
        <w:t>The PIHP shall provide the financial reports to MDH</w:t>
      </w:r>
      <w:r>
        <w:rPr>
          <w:sz w:val="24"/>
        </w:rPr>
        <w:t>HS</w:t>
      </w:r>
      <w:r w:rsidRPr="009E76B5">
        <w:rPr>
          <w:sz w:val="24"/>
        </w:rPr>
        <w:t xml:space="preserve"> as listed below. Forms and instructions are posted to the MDH</w:t>
      </w:r>
      <w:r>
        <w:rPr>
          <w:sz w:val="24"/>
        </w:rPr>
        <w:t>HS</w:t>
      </w:r>
      <w:r w:rsidRPr="009E76B5">
        <w:rPr>
          <w:sz w:val="24"/>
        </w:rPr>
        <w:t xml:space="preserve"> website address at: </w:t>
      </w:r>
      <w:hyperlink r:id="rId8" w:history="1">
        <w:r w:rsidRPr="00794F3E">
          <w:rPr>
            <w:rStyle w:val="Hyperlink"/>
            <w:sz w:val="24"/>
          </w:rPr>
          <w:t>http://www.michigan.gov/mdhhs/0,1607,7-132-2941_38765---,00.html</w:t>
        </w:r>
      </w:hyperlink>
    </w:p>
    <w:p w:rsidR="000F2A93" w:rsidRPr="009E76B5" w:rsidRDefault="000F2A93" w:rsidP="000F2A93">
      <w:pPr>
        <w:widowControl/>
        <w:rPr>
          <w:color w:val="0000FF"/>
          <w:sz w:val="24"/>
          <w:u w:val="single"/>
        </w:rPr>
      </w:pPr>
    </w:p>
    <w:p w:rsidR="000F2A93" w:rsidRPr="009E76B5" w:rsidRDefault="000F2A93" w:rsidP="000F2A93">
      <w:pPr>
        <w:widowControl/>
        <w:rPr>
          <w:sz w:val="24"/>
        </w:rPr>
      </w:pPr>
      <w:r w:rsidRPr="009E76B5">
        <w:rPr>
          <w:sz w:val="24"/>
        </w:rPr>
        <w:t xml:space="preserve">Submit completed reports electronically (Excel or Word) to: </w:t>
      </w:r>
      <w:r w:rsidRPr="009E76B5">
        <w:rPr>
          <w:sz w:val="24"/>
          <w:u w:val="single"/>
        </w:rPr>
        <w:t>MDH</w:t>
      </w:r>
      <w:r>
        <w:rPr>
          <w:sz w:val="24"/>
          <w:u w:val="single"/>
        </w:rPr>
        <w:t>HA</w:t>
      </w:r>
      <w:r w:rsidRPr="009E76B5">
        <w:rPr>
          <w:sz w:val="24"/>
          <w:u w:val="single"/>
        </w:rPr>
        <w:t>-MHSA-Contracts-MGMT@michigan.gov</w:t>
      </w:r>
      <w:r w:rsidRPr="009E76B5">
        <w:rPr>
          <w:sz w:val="24"/>
        </w:rPr>
        <w:t xml:space="preserve"> except for reports noted in table below.</w:t>
      </w:r>
    </w:p>
    <w:p w:rsidR="000F2A93" w:rsidRPr="009E76B5" w:rsidRDefault="000F2A93" w:rsidP="000F2A93">
      <w:pPr>
        <w:widowControl/>
        <w:rPr>
          <w:sz w:val="24"/>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3677"/>
        <w:gridCol w:w="3295"/>
      </w:tblGrid>
      <w:tr w:rsidR="000F2A93" w:rsidRPr="009E76B5" w:rsidTr="00D64C14">
        <w:trPr>
          <w:jc w:val="center"/>
        </w:trPr>
        <w:tc>
          <w:tcPr>
            <w:tcW w:w="1983" w:type="dxa"/>
            <w:shd w:val="clear" w:color="auto" w:fill="auto"/>
          </w:tcPr>
          <w:p w:rsidR="000F2A93" w:rsidRPr="009E76B5" w:rsidRDefault="000F2A93" w:rsidP="00D64C14">
            <w:pPr>
              <w:widowControl/>
              <w:rPr>
                <w:b/>
                <w:szCs w:val="20"/>
                <w:u w:val="single"/>
              </w:rPr>
            </w:pPr>
            <w:r w:rsidRPr="009E76B5">
              <w:rPr>
                <w:b/>
                <w:szCs w:val="20"/>
                <w:u w:val="single"/>
              </w:rPr>
              <w:t>Due Date</w:t>
            </w:r>
          </w:p>
          <w:p w:rsidR="000F2A93" w:rsidRPr="009E76B5" w:rsidRDefault="000F2A93" w:rsidP="00D64C14">
            <w:pPr>
              <w:widowControl/>
              <w:rPr>
                <w:sz w:val="24"/>
              </w:rPr>
            </w:pPr>
          </w:p>
        </w:tc>
        <w:tc>
          <w:tcPr>
            <w:tcW w:w="3772" w:type="dxa"/>
            <w:shd w:val="clear" w:color="auto" w:fill="auto"/>
          </w:tcPr>
          <w:p w:rsidR="000F2A93" w:rsidRPr="009E76B5" w:rsidRDefault="000F2A93" w:rsidP="00D64C14">
            <w:pPr>
              <w:widowControl/>
              <w:ind w:firstLine="720"/>
              <w:rPr>
                <w:b/>
                <w:szCs w:val="20"/>
                <w:u w:val="single"/>
              </w:rPr>
            </w:pPr>
            <w:r w:rsidRPr="009E76B5">
              <w:rPr>
                <w:b/>
                <w:szCs w:val="20"/>
                <w:u w:val="single"/>
              </w:rPr>
              <w:t>Report Title</w:t>
            </w:r>
          </w:p>
          <w:p w:rsidR="000F2A93" w:rsidRPr="009E76B5" w:rsidRDefault="000F2A93" w:rsidP="00D64C14">
            <w:pPr>
              <w:widowControl/>
              <w:rPr>
                <w:sz w:val="24"/>
              </w:rPr>
            </w:pPr>
          </w:p>
        </w:tc>
        <w:tc>
          <w:tcPr>
            <w:tcW w:w="3173" w:type="dxa"/>
            <w:shd w:val="clear" w:color="auto" w:fill="auto"/>
          </w:tcPr>
          <w:p w:rsidR="000F2A93" w:rsidRPr="009E76B5" w:rsidRDefault="000F2A93" w:rsidP="00D64C14">
            <w:pPr>
              <w:widowControl/>
              <w:rPr>
                <w:b/>
                <w:szCs w:val="20"/>
                <w:u w:val="single"/>
              </w:rPr>
            </w:pPr>
            <w:r w:rsidRPr="009E76B5">
              <w:rPr>
                <w:b/>
                <w:szCs w:val="20"/>
                <w:u w:val="single"/>
              </w:rPr>
              <w:t>Report Period</w:t>
            </w:r>
          </w:p>
          <w:p w:rsidR="000F2A93" w:rsidRPr="009E76B5" w:rsidRDefault="000F2A93" w:rsidP="00D64C14">
            <w:pPr>
              <w:widowControl/>
              <w:rPr>
                <w:sz w:val="24"/>
              </w:rPr>
            </w:pP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10/1/201</w:t>
            </w:r>
            <w:r>
              <w:rPr>
                <w:sz w:val="24"/>
              </w:rPr>
              <w:t>5</w:t>
            </w:r>
          </w:p>
        </w:tc>
        <w:tc>
          <w:tcPr>
            <w:tcW w:w="3772" w:type="dxa"/>
            <w:shd w:val="clear" w:color="auto" w:fill="auto"/>
          </w:tcPr>
          <w:p w:rsidR="000F2A93" w:rsidRPr="009E76B5" w:rsidRDefault="000F2A93" w:rsidP="00D64C14">
            <w:pPr>
              <w:widowControl/>
              <w:rPr>
                <w:szCs w:val="20"/>
              </w:rPr>
            </w:pPr>
            <w:r w:rsidRPr="009E76B5">
              <w:rPr>
                <w:szCs w:val="20"/>
              </w:rPr>
              <w:t>SUD – Revenue &amp; Expenditure Report (RER) – Initial</w:t>
            </w:r>
          </w:p>
        </w:tc>
        <w:tc>
          <w:tcPr>
            <w:tcW w:w="3173" w:type="dxa"/>
            <w:shd w:val="clear" w:color="auto" w:fill="auto"/>
          </w:tcPr>
          <w:p w:rsidR="000F2A93" w:rsidRPr="009E76B5" w:rsidRDefault="000F2A93" w:rsidP="00D64C14">
            <w:pPr>
              <w:widowControl/>
              <w:rPr>
                <w:szCs w:val="20"/>
              </w:rPr>
            </w:pPr>
            <w:r w:rsidRPr="009E76B5">
              <w:rPr>
                <w:szCs w:val="20"/>
              </w:rPr>
              <w:t>October 1to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1/31/201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SUD – Financial Status Report</w:t>
            </w:r>
          </w:p>
        </w:tc>
        <w:tc>
          <w:tcPr>
            <w:tcW w:w="3173" w:type="dxa"/>
            <w:shd w:val="clear" w:color="auto" w:fill="auto"/>
          </w:tcPr>
          <w:p w:rsidR="000F2A93" w:rsidRPr="009E76B5" w:rsidRDefault="000F2A93" w:rsidP="00D64C14">
            <w:pPr>
              <w:widowControl/>
              <w:rPr>
                <w:szCs w:val="20"/>
              </w:rPr>
            </w:pPr>
            <w:r w:rsidRPr="009E76B5">
              <w:rPr>
                <w:szCs w:val="20"/>
              </w:rPr>
              <w:t>October 1 to December 31</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4/30/201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SUD – Financial Status Report</w:t>
            </w:r>
          </w:p>
        </w:tc>
        <w:tc>
          <w:tcPr>
            <w:tcW w:w="3173" w:type="dxa"/>
            <w:shd w:val="clear" w:color="auto" w:fill="auto"/>
          </w:tcPr>
          <w:p w:rsidR="000F2A93" w:rsidRPr="009E76B5" w:rsidRDefault="000F2A93" w:rsidP="00D64C14">
            <w:pPr>
              <w:widowControl/>
              <w:rPr>
                <w:szCs w:val="20"/>
              </w:rPr>
            </w:pPr>
            <w:r w:rsidRPr="009E76B5">
              <w:rPr>
                <w:szCs w:val="20"/>
              </w:rPr>
              <w:t>January 1 to March 31</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5/31/201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Mid-Year Status Report</w:t>
            </w:r>
          </w:p>
        </w:tc>
        <w:tc>
          <w:tcPr>
            <w:tcW w:w="3173" w:type="dxa"/>
            <w:shd w:val="clear" w:color="auto" w:fill="auto"/>
          </w:tcPr>
          <w:p w:rsidR="000F2A93" w:rsidRPr="009E76B5" w:rsidRDefault="000F2A93" w:rsidP="00D64C14">
            <w:pPr>
              <w:widowControl/>
              <w:rPr>
                <w:szCs w:val="20"/>
              </w:rPr>
            </w:pPr>
            <w:r w:rsidRPr="009E76B5">
              <w:rPr>
                <w:szCs w:val="20"/>
              </w:rPr>
              <w:t>October 1 to March 31</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6/01/201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SUD – Notice of Excess or Insufficient Funds</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7/31/201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SUD – Financial Status Report</w:t>
            </w:r>
          </w:p>
        </w:tc>
        <w:tc>
          <w:tcPr>
            <w:tcW w:w="3173" w:type="dxa"/>
            <w:shd w:val="clear" w:color="auto" w:fill="auto"/>
          </w:tcPr>
          <w:p w:rsidR="000F2A93" w:rsidRPr="009E76B5" w:rsidRDefault="000F2A93" w:rsidP="00D64C14">
            <w:pPr>
              <w:widowControl/>
              <w:rPr>
                <w:szCs w:val="20"/>
              </w:rPr>
            </w:pPr>
            <w:r w:rsidRPr="009E76B5">
              <w:rPr>
                <w:szCs w:val="20"/>
              </w:rPr>
              <w:t>April 1 to June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8/15/201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SUD – Charitable Choice Report</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r w:rsidRPr="009E76B5">
              <w:rPr>
                <w:sz w:val="24"/>
              </w:rPr>
              <w:t>8/15/201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 xml:space="preserve">Projection Financial Status Report – Medicaid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r w:rsidRPr="009E76B5">
              <w:rPr>
                <w:sz w:val="24"/>
              </w:rPr>
              <w:t>8/15/201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 xml:space="preserve">Projection Medicaid – Shared Risk Calculation &amp; Risk Financing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p>
          <w:p w:rsidR="000F2A93" w:rsidRPr="009E76B5" w:rsidRDefault="000F2A93" w:rsidP="00D64C14">
            <w:pPr>
              <w:widowControl/>
              <w:rPr>
                <w:szCs w:val="20"/>
              </w:rPr>
            </w:pPr>
            <w:r w:rsidRPr="009E76B5">
              <w:rPr>
                <w:sz w:val="24"/>
              </w:rPr>
              <w:t>8/15/201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 xml:space="preserve">Projection Medicaid – Internal Service Fund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r w:rsidRPr="009E76B5">
              <w:rPr>
                <w:sz w:val="24"/>
              </w:rPr>
              <w:t>8/15/201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 xml:space="preserve">Projection Medicaid Contract Settlement Worksheet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r w:rsidRPr="009E76B5">
              <w:rPr>
                <w:sz w:val="24"/>
              </w:rPr>
              <w:t>8/15/201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 xml:space="preserve">Projection Medicaid Contract Reconciliation &amp; Cash Settlement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9/XX/201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SUD – Preliminary Closeout Report (REREXP-Obligation)</w:t>
            </w:r>
          </w:p>
        </w:tc>
        <w:tc>
          <w:tcPr>
            <w:tcW w:w="3173" w:type="dxa"/>
            <w:shd w:val="clear" w:color="auto" w:fill="auto"/>
          </w:tcPr>
          <w:p w:rsidR="000F2A93" w:rsidRPr="009E76B5" w:rsidRDefault="000F2A93" w:rsidP="00D64C14">
            <w:pPr>
              <w:widowControl/>
              <w:rPr>
                <w:szCs w:val="20"/>
              </w:rPr>
            </w:pPr>
            <w:r w:rsidRPr="009E76B5">
              <w:rPr>
                <w:szCs w:val="20"/>
              </w:rPr>
              <w:t>October 1 to September 30 (Due date will be determined by Budget Office in August for year-end closing)</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10/1/201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 xml:space="preserve">Medicaid Year End Accrual Schedule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11/10/201</w:t>
            </w:r>
            <w:r>
              <w:rPr>
                <w:sz w:val="24"/>
              </w:rPr>
              <w:t>6</w:t>
            </w:r>
          </w:p>
        </w:tc>
        <w:tc>
          <w:tcPr>
            <w:tcW w:w="3772" w:type="dxa"/>
            <w:shd w:val="clear" w:color="auto" w:fill="auto"/>
          </w:tcPr>
          <w:p w:rsidR="000F2A93" w:rsidRPr="009E76B5" w:rsidRDefault="000F2A93" w:rsidP="00D64C14">
            <w:pPr>
              <w:widowControl/>
              <w:rPr>
                <w:sz w:val="24"/>
              </w:rPr>
            </w:pPr>
            <w:r w:rsidRPr="009E76B5">
              <w:rPr>
                <w:szCs w:val="20"/>
              </w:rPr>
              <w:t xml:space="preserve">Interim Financial Status Report – Medicaid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11/10/201</w:t>
            </w:r>
            <w:r>
              <w:rPr>
                <w:sz w:val="24"/>
              </w:rPr>
              <w:t>6</w:t>
            </w:r>
          </w:p>
        </w:tc>
        <w:tc>
          <w:tcPr>
            <w:tcW w:w="3772" w:type="dxa"/>
            <w:shd w:val="clear" w:color="auto" w:fill="auto"/>
          </w:tcPr>
          <w:p w:rsidR="000F2A93" w:rsidRPr="009E76B5" w:rsidRDefault="000F2A93" w:rsidP="00D64C14">
            <w:pPr>
              <w:widowControl/>
              <w:rPr>
                <w:sz w:val="24"/>
              </w:rPr>
            </w:pPr>
            <w:r w:rsidRPr="009E76B5">
              <w:rPr>
                <w:szCs w:val="20"/>
              </w:rPr>
              <w:t xml:space="preserve">Interim Medicaid – Shared Risk Calculation &amp; Risk Financing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11/10/201</w:t>
            </w:r>
            <w:r>
              <w:rPr>
                <w:sz w:val="24"/>
              </w:rPr>
              <w:t>6</w:t>
            </w:r>
          </w:p>
        </w:tc>
        <w:tc>
          <w:tcPr>
            <w:tcW w:w="3772" w:type="dxa"/>
            <w:shd w:val="clear" w:color="auto" w:fill="auto"/>
          </w:tcPr>
          <w:p w:rsidR="000F2A93" w:rsidRPr="009E76B5" w:rsidRDefault="000F2A93" w:rsidP="00D64C14">
            <w:pPr>
              <w:widowControl/>
              <w:rPr>
                <w:sz w:val="24"/>
              </w:rPr>
            </w:pPr>
            <w:r w:rsidRPr="009E76B5">
              <w:rPr>
                <w:szCs w:val="20"/>
              </w:rPr>
              <w:t xml:space="preserve">Interim Medicaid – Internal Service Fund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r w:rsidRPr="009E76B5">
              <w:rPr>
                <w:sz w:val="24"/>
              </w:rPr>
              <w:t>11/10/201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 xml:space="preserve">Interim Medicaid Contract Settlement Worksheet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11/10/201</w:t>
            </w:r>
            <w:r>
              <w:rPr>
                <w:sz w:val="24"/>
              </w:rPr>
              <w:t>6</w:t>
            </w:r>
          </w:p>
        </w:tc>
        <w:tc>
          <w:tcPr>
            <w:tcW w:w="3772" w:type="dxa"/>
            <w:shd w:val="clear" w:color="auto" w:fill="auto"/>
          </w:tcPr>
          <w:p w:rsidR="000F2A93" w:rsidRPr="009E76B5" w:rsidRDefault="000F2A93" w:rsidP="00D64C14">
            <w:pPr>
              <w:widowControl/>
              <w:rPr>
                <w:sz w:val="24"/>
              </w:rPr>
            </w:pPr>
            <w:r w:rsidRPr="009E76B5">
              <w:rPr>
                <w:szCs w:val="20"/>
              </w:rPr>
              <w:t xml:space="preserve">Interim Medicaid Contract Reconciliation &amp; Cash Settlement v 2009-2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11/30/201</w:t>
            </w:r>
            <w:r>
              <w:rPr>
                <w:sz w:val="24"/>
              </w:rPr>
              <w:t>6</w:t>
            </w:r>
          </w:p>
        </w:tc>
        <w:tc>
          <w:tcPr>
            <w:tcW w:w="3772" w:type="dxa"/>
            <w:shd w:val="clear" w:color="auto" w:fill="auto"/>
          </w:tcPr>
          <w:p w:rsidR="000F2A93" w:rsidRPr="009E76B5" w:rsidRDefault="000F2A93" w:rsidP="00D64C14">
            <w:pPr>
              <w:widowControl/>
              <w:rPr>
                <w:szCs w:val="20"/>
              </w:rPr>
            </w:pPr>
            <w:r w:rsidRPr="009E76B5">
              <w:rPr>
                <w:szCs w:val="20"/>
              </w:rPr>
              <w:t>SUD – Financial Status Report (Final)</w:t>
            </w:r>
          </w:p>
        </w:tc>
        <w:tc>
          <w:tcPr>
            <w:tcW w:w="3173" w:type="dxa"/>
            <w:shd w:val="clear" w:color="auto" w:fill="auto"/>
          </w:tcPr>
          <w:p w:rsidR="000F2A93" w:rsidRPr="009E76B5" w:rsidRDefault="000F2A93" w:rsidP="00D64C14">
            <w:pPr>
              <w:widowControl/>
              <w:rPr>
                <w:szCs w:val="20"/>
              </w:rPr>
            </w:pPr>
            <w:r w:rsidRPr="009E76B5">
              <w:rPr>
                <w:szCs w:val="20"/>
              </w:rPr>
              <w:t>July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1/31/201</w:t>
            </w:r>
            <w:r>
              <w:rPr>
                <w:sz w:val="24"/>
              </w:rPr>
              <w:t>7</w:t>
            </w:r>
          </w:p>
        </w:tc>
        <w:tc>
          <w:tcPr>
            <w:tcW w:w="3772" w:type="dxa"/>
            <w:shd w:val="clear" w:color="auto" w:fill="auto"/>
          </w:tcPr>
          <w:p w:rsidR="000F2A93" w:rsidRPr="009E76B5" w:rsidRDefault="000F2A93" w:rsidP="00D64C14">
            <w:pPr>
              <w:widowControl/>
              <w:rPr>
                <w:szCs w:val="20"/>
              </w:rPr>
            </w:pPr>
            <w:r w:rsidRPr="009E76B5">
              <w:rPr>
                <w:szCs w:val="20"/>
              </w:rPr>
              <w:t>Annual Report on Fraud and Abuse Complaints</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Pr>
                <w:sz w:val="24"/>
              </w:rPr>
              <w:t>2</w:t>
            </w:r>
            <w:r w:rsidRPr="009E76B5">
              <w:rPr>
                <w:sz w:val="24"/>
              </w:rPr>
              <w:t>/</w:t>
            </w:r>
            <w:r>
              <w:rPr>
                <w:sz w:val="24"/>
              </w:rPr>
              <w:t>28</w:t>
            </w:r>
            <w:r w:rsidRPr="009E76B5">
              <w:rPr>
                <w:sz w:val="24"/>
              </w:rPr>
              <w:t>/201</w:t>
            </w:r>
            <w:r>
              <w:rPr>
                <w:sz w:val="24"/>
              </w:rPr>
              <w:t>7</w:t>
            </w:r>
          </w:p>
        </w:tc>
        <w:tc>
          <w:tcPr>
            <w:tcW w:w="3772" w:type="dxa"/>
            <w:shd w:val="clear" w:color="auto" w:fill="auto"/>
          </w:tcPr>
          <w:p w:rsidR="000F2A93" w:rsidRPr="009E76B5" w:rsidRDefault="000F2A93" w:rsidP="00D64C14">
            <w:pPr>
              <w:widowControl/>
              <w:rPr>
                <w:szCs w:val="20"/>
              </w:rPr>
            </w:pPr>
            <w:r w:rsidRPr="009E76B5">
              <w:rPr>
                <w:szCs w:val="20"/>
              </w:rPr>
              <w:t>SUD – Primary Prevention Expenditures by Strategy Report</w:t>
            </w:r>
          </w:p>
        </w:tc>
        <w:tc>
          <w:tcPr>
            <w:tcW w:w="3173" w:type="dxa"/>
            <w:shd w:val="clear" w:color="auto" w:fill="auto"/>
          </w:tcPr>
          <w:p w:rsidR="000F2A93" w:rsidRPr="009E76B5" w:rsidRDefault="000F2A93" w:rsidP="00D64C14">
            <w:pPr>
              <w:widowControl/>
              <w:rPr>
                <w:szCs w:val="20"/>
              </w:rPr>
            </w:pPr>
            <w:r w:rsidRPr="009E76B5">
              <w:rPr>
                <w:szCs w:val="20"/>
              </w:rPr>
              <w:t>October 1to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Pr>
                <w:sz w:val="24"/>
              </w:rPr>
              <w:t>2</w:t>
            </w:r>
            <w:r w:rsidRPr="009E76B5">
              <w:rPr>
                <w:sz w:val="24"/>
              </w:rPr>
              <w:t>/</w:t>
            </w:r>
            <w:r>
              <w:rPr>
                <w:sz w:val="24"/>
              </w:rPr>
              <w:t>28</w:t>
            </w:r>
            <w:r w:rsidRPr="009E76B5">
              <w:rPr>
                <w:sz w:val="24"/>
              </w:rPr>
              <w:t>/201</w:t>
            </w:r>
            <w:r>
              <w:rPr>
                <w:sz w:val="24"/>
              </w:rPr>
              <w:t>7</w:t>
            </w:r>
          </w:p>
        </w:tc>
        <w:tc>
          <w:tcPr>
            <w:tcW w:w="3772" w:type="dxa"/>
            <w:shd w:val="clear" w:color="auto" w:fill="auto"/>
          </w:tcPr>
          <w:p w:rsidR="000F2A93" w:rsidRPr="009E76B5" w:rsidRDefault="000F2A93" w:rsidP="00D64C14">
            <w:pPr>
              <w:widowControl/>
              <w:rPr>
                <w:szCs w:val="20"/>
              </w:rPr>
            </w:pPr>
            <w:r w:rsidRPr="009E76B5">
              <w:rPr>
                <w:szCs w:val="20"/>
              </w:rPr>
              <w:t>SUD – Revenue &amp; Expenditure Report – (RER) Final</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Pr>
                <w:sz w:val="24"/>
              </w:rPr>
              <w:lastRenderedPageBreak/>
              <w:t>2</w:t>
            </w:r>
            <w:r w:rsidRPr="009E76B5">
              <w:rPr>
                <w:sz w:val="24"/>
              </w:rPr>
              <w:t>/</w:t>
            </w:r>
            <w:r>
              <w:rPr>
                <w:sz w:val="24"/>
              </w:rPr>
              <w:t>28</w:t>
            </w:r>
            <w:r w:rsidRPr="009E76B5">
              <w:rPr>
                <w:sz w:val="24"/>
              </w:rPr>
              <w:t>/201</w:t>
            </w:r>
            <w:r>
              <w:rPr>
                <w:sz w:val="24"/>
              </w:rPr>
              <w:t>7</w:t>
            </w:r>
          </w:p>
        </w:tc>
        <w:tc>
          <w:tcPr>
            <w:tcW w:w="3772" w:type="dxa"/>
            <w:shd w:val="clear" w:color="auto" w:fill="auto"/>
          </w:tcPr>
          <w:p w:rsidR="000F2A93" w:rsidRPr="009E76B5" w:rsidRDefault="000F2A93" w:rsidP="00D64C14">
            <w:pPr>
              <w:widowControl/>
              <w:rPr>
                <w:szCs w:val="20"/>
              </w:rPr>
            </w:pPr>
            <w:r w:rsidRPr="009E76B5">
              <w:rPr>
                <w:szCs w:val="20"/>
              </w:rPr>
              <w:t>SUD – Legislative Report/Section 408</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Pr>
                <w:sz w:val="24"/>
              </w:rPr>
              <w:t>2</w:t>
            </w:r>
            <w:r w:rsidRPr="009E76B5">
              <w:rPr>
                <w:sz w:val="24"/>
              </w:rPr>
              <w:t>/</w:t>
            </w:r>
            <w:r>
              <w:rPr>
                <w:sz w:val="24"/>
              </w:rPr>
              <w:t>28</w:t>
            </w:r>
            <w:r w:rsidRPr="009E76B5">
              <w:rPr>
                <w:sz w:val="24"/>
              </w:rPr>
              <w:t>/201</w:t>
            </w:r>
            <w:r>
              <w:rPr>
                <w:sz w:val="24"/>
              </w:rPr>
              <w:t>7</w:t>
            </w:r>
          </w:p>
        </w:tc>
        <w:tc>
          <w:tcPr>
            <w:tcW w:w="3772" w:type="dxa"/>
            <w:shd w:val="clear" w:color="auto" w:fill="auto"/>
          </w:tcPr>
          <w:p w:rsidR="000F2A93" w:rsidRPr="009E76B5" w:rsidRDefault="000F2A93" w:rsidP="00D64C14">
            <w:pPr>
              <w:widowControl/>
              <w:rPr>
                <w:szCs w:val="20"/>
              </w:rPr>
            </w:pPr>
            <w:r w:rsidRPr="009E76B5">
              <w:rPr>
                <w:szCs w:val="20"/>
              </w:rPr>
              <w:t>SUD – Special Projects, Earmark funded:</w:t>
            </w:r>
          </w:p>
          <w:p w:rsidR="000F2A93" w:rsidRPr="009E76B5" w:rsidRDefault="000F2A93" w:rsidP="00D64C14">
            <w:pPr>
              <w:widowControl/>
              <w:rPr>
                <w:szCs w:val="20"/>
              </w:rPr>
            </w:pPr>
            <w:r w:rsidRPr="009E76B5">
              <w:rPr>
                <w:szCs w:val="20"/>
              </w:rPr>
              <w:t>Flint Odyssey House</w:t>
            </w:r>
          </w:p>
          <w:p w:rsidR="000F2A93" w:rsidRPr="009E76B5" w:rsidRDefault="000F2A93" w:rsidP="00D64C14">
            <w:pPr>
              <w:widowControl/>
              <w:rPr>
                <w:szCs w:val="20"/>
              </w:rPr>
            </w:pPr>
            <w:r w:rsidRPr="009E76B5">
              <w:rPr>
                <w:szCs w:val="20"/>
              </w:rPr>
              <w:t>Sacred Heart Rehab Center</w:t>
            </w:r>
          </w:p>
          <w:p w:rsidR="000F2A93" w:rsidRPr="009E76B5" w:rsidRDefault="000F2A93" w:rsidP="00D64C14">
            <w:pPr>
              <w:widowControl/>
              <w:rPr>
                <w:szCs w:val="20"/>
              </w:rPr>
            </w:pPr>
            <w:r w:rsidRPr="009E76B5">
              <w:rPr>
                <w:szCs w:val="20"/>
              </w:rPr>
              <w:t>Hispanic Services</w:t>
            </w:r>
          </w:p>
          <w:p w:rsidR="000F2A93" w:rsidRPr="009E76B5" w:rsidRDefault="000F2A93" w:rsidP="00D64C14">
            <w:pPr>
              <w:widowControl/>
              <w:rPr>
                <w:szCs w:val="20"/>
              </w:rPr>
            </w:pPr>
            <w:r w:rsidRPr="009E76B5">
              <w:rPr>
                <w:szCs w:val="20"/>
              </w:rPr>
              <w:t>Saginaw Odyssey House</w:t>
            </w:r>
          </w:p>
          <w:p w:rsidR="000F2A93" w:rsidRPr="009E76B5" w:rsidRDefault="000F2A93" w:rsidP="00D64C14">
            <w:pPr>
              <w:widowControl/>
              <w:rPr>
                <w:szCs w:val="20"/>
              </w:rPr>
            </w:pPr>
            <w:r w:rsidRPr="009E76B5">
              <w:rPr>
                <w:szCs w:val="20"/>
              </w:rPr>
              <w:t>(Applies only to PIHP’s who have earmarked allocations for these Programs)</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2/28/201</w:t>
            </w:r>
            <w:r>
              <w:rPr>
                <w:sz w:val="24"/>
              </w:rPr>
              <w:t>7</w:t>
            </w:r>
          </w:p>
        </w:tc>
        <w:tc>
          <w:tcPr>
            <w:tcW w:w="3772" w:type="dxa"/>
            <w:shd w:val="clear" w:color="auto" w:fill="auto"/>
          </w:tcPr>
          <w:p w:rsidR="000F2A93" w:rsidRPr="009E76B5" w:rsidRDefault="000F2A93" w:rsidP="00D64C14">
            <w:pPr>
              <w:widowControl/>
              <w:rPr>
                <w:sz w:val="24"/>
              </w:rPr>
            </w:pPr>
            <w:r w:rsidRPr="009E76B5">
              <w:rPr>
                <w:szCs w:val="20"/>
              </w:rPr>
              <w:t xml:space="preserve">Final Financial Status Report – Medicaid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p>
          <w:p w:rsidR="000F2A93" w:rsidRPr="009E76B5" w:rsidRDefault="000F2A93" w:rsidP="00D64C14">
            <w:pPr>
              <w:widowControl/>
              <w:rPr>
                <w:sz w:val="24"/>
              </w:rPr>
            </w:pPr>
            <w:r w:rsidRPr="009E76B5">
              <w:rPr>
                <w:sz w:val="24"/>
              </w:rPr>
              <w:t>2/28/201</w:t>
            </w:r>
            <w:r>
              <w:rPr>
                <w:sz w:val="24"/>
              </w:rPr>
              <w:t>7</w:t>
            </w:r>
          </w:p>
        </w:tc>
        <w:tc>
          <w:tcPr>
            <w:tcW w:w="3772" w:type="dxa"/>
            <w:shd w:val="clear" w:color="auto" w:fill="auto"/>
          </w:tcPr>
          <w:p w:rsidR="000F2A93" w:rsidRPr="009E76B5" w:rsidRDefault="000F2A93" w:rsidP="00D64C14">
            <w:pPr>
              <w:widowControl/>
              <w:rPr>
                <w:sz w:val="24"/>
              </w:rPr>
            </w:pPr>
            <w:r w:rsidRPr="009E76B5">
              <w:rPr>
                <w:szCs w:val="20"/>
              </w:rPr>
              <w:t xml:space="preserve">Final Shared Risk Calculation &amp; Risk Financing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2/28/201</w:t>
            </w:r>
            <w:r>
              <w:rPr>
                <w:sz w:val="24"/>
              </w:rPr>
              <w:t>7</w:t>
            </w:r>
          </w:p>
        </w:tc>
        <w:tc>
          <w:tcPr>
            <w:tcW w:w="3772" w:type="dxa"/>
            <w:shd w:val="clear" w:color="auto" w:fill="auto"/>
          </w:tcPr>
          <w:p w:rsidR="000F2A93" w:rsidRPr="009E76B5" w:rsidRDefault="000F2A93" w:rsidP="00D64C14">
            <w:pPr>
              <w:widowControl/>
              <w:rPr>
                <w:sz w:val="24"/>
              </w:rPr>
            </w:pPr>
            <w:r w:rsidRPr="009E76B5">
              <w:rPr>
                <w:szCs w:val="20"/>
              </w:rPr>
              <w:t xml:space="preserve">Final Medicaid – Internal Service Fund </w:t>
            </w:r>
          </w:p>
        </w:tc>
        <w:tc>
          <w:tcPr>
            <w:tcW w:w="3173" w:type="dxa"/>
            <w:shd w:val="clear" w:color="auto" w:fill="auto"/>
          </w:tcPr>
          <w:p w:rsidR="000F2A93" w:rsidRPr="009E76B5" w:rsidRDefault="000F2A93" w:rsidP="00D64C14">
            <w:pPr>
              <w:widowControl/>
              <w:rPr>
                <w:sz w:val="24"/>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r w:rsidRPr="009E76B5">
              <w:rPr>
                <w:sz w:val="24"/>
              </w:rPr>
              <w:t>2/28/201</w:t>
            </w:r>
            <w:r>
              <w:rPr>
                <w:sz w:val="24"/>
              </w:rPr>
              <w:t>7</w:t>
            </w:r>
          </w:p>
        </w:tc>
        <w:tc>
          <w:tcPr>
            <w:tcW w:w="3772" w:type="dxa"/>
            <w:shd w:val="clear" w:color="auto" w:fill="auto"/>
          </w:tcPr>
          <w:p w:rsidR="000F2A93" w:rsidRPr="009E76B5" w:rsidRDefault="000F2A93" w:rsidP="00D64C14">
            <w:pPr>
              <w:widowControl/>
              <w:rPr>
                <w:szCs w:val="20"/>
              </w:rPr>
            </w:pPr>
            <w:r w:rsidRPr="009E76B5">
              <w:rPr>
                <w:szCs w:val="20"/>
              </w:rPr>
              <w:t xml:space="preserve">Final Medicaid Contract Settlement Worksheet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2/28/201</w:t>
            </w:r>
            <w:r>
              <w:rPr>
                <w:sz w:val="24"/>
              </w:rPr>
              <w:t>7</w:t>
            </w:r>
          </w:p>
        </w:tc>
        <w:tc>
          <w:tcPr>
            <w:tcW w:w="3772" w:type="dxa"/>
            <w:shd w:val="clear" w:color="auto" w:fill="auto"/>
          </w:tcPr>
          <w:p w:rsidR="000F2A93" w:rsidRPr="009E76B5" w:rsidRDefault="000F2A93" w:rsidP="00D64C14">
            <w:pPr>
              <w:widowControl/>
              <w:rPr>
                <w:sz w:val="24"/>
              </w:rPr>
            </w:pPr>
            <w:r w:rsidRPr="009E76B5">
              <w:rPr>
                <w:szCs w:val="20"/>
              </w:rPr>
              <w:t xml:space="preserve">Final Medicaid Contract Reconciliation &amp; Cash Settlement </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2/28/201</w:t>
            </w:r>
            <w:r>
              <w:rPr>
                <w:sz w:val="24"/>
              </w:rPr>
              <w:t>7</w:t>
            </w:r>
          </w:p>
        </w:tc>
        <w:tc>
          <w:tcPr>
            <w:tcW w:w="3772" w:type="dxa"/>
            <w:shd w:val="clear" w:color="auto" w:fill="auto"/>
          </w:tcPr>
          <w:p w:rsidR="000F2A93" w:rsidRPr="009E76B5" w:rsidRDefault="000F2A93" w:rsidP="00D64C14">
            <w:pPr>
              <w:widowControl/>
              <w:rPr>
                <w:sz w:val="24"/>
              </w:rPr>
            </w:pPr>
            <w:r w:rsidRPr="009E76B5">
              <w:rPr>
                <w:szCs w:val="20"/>
              </w:rPr>
              <w:t>Medicaid Utilization and Cost Report (MUNC)</w:t>
            </w:r>
          </w:p>
        </w:tc>
        <w:tc>
          <w:tcPr>
            <w:tcW w:w="3173" w:type="dxa"/>
            <w:shd w:val="clear" w:color="auto" w:fill="auto"/>
          </w:tcPr>
          <w:p w:rsidR="000F2A93" w:rsidRPr="009E76B5" w:rsidRDefault="000F2A93" w:rsidP="00D64C14">
            <w:pPr>
              <w:widowControl/>
              <w:rPr>
                <w:szCs w:val="20"/>
              </w:rPr>
            </w:pPr>
            <w:r w:rsidRPr="009E76B5">
              <w:rPr>
                <w:szCs w:val="20"/>
              </w:rPr>
              <w:t xml:space="preserve">See Attachment P 6.5.1.1 Submit report to: </w:t>
            </w:r>
            <w:r w:rsidRPr="009E76B5">
              <w:rPr>
                <w:szCs w:val="20"/>
                <w:u w:val="single"/>
              </w:rPr>
              <w:t>QMPMeasures@michigan.gov</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r w:rsidRPr="009E76B5">
              <w:rPr>
                <w:sz w:val="24"/>
              </w:rPr>
              <w:t>2/28/201</w:t>
            </w:r>
            <w:r>
              <w:rPr>
                <w:sz w:val="24"/>
              </w:rPr>
              <w:t>7</w:t>
            </w:r>
          </w:p>
        </w:tc>
        <w:tc>
          <w:tcPr>
            <w:tcW w:w="3772" w:type="dxa"/>
            <w:shd w:val="clear" w:color="auto" w:fill="auto"/>
          </w:tcPr>
          <w:p w:rsidR="000F2A93" w:rsidRPr="009E76B5" w:rsidRDefault="000F2A93" w:rsidP="00D64C14">
            <w:pPr>
              <w:widowControl/>
              <w:rPr>
                <w:szCs w:val="20"/>
              </w:rPr>
            </w:pPr>
            <w:r w:rsidRPr="009E76B5">
              <w:rPr>
                <w:szCs w:val="20"/>
              </w:rPr>
              <w:t>Medicaid Community Inpatient Psychiatric Services Expenditure Report</w:t>
            </w:r>
          </w:p>
        </w:tc>
        <w:tc>
          <w:tcPr>
            <w:tcW w:w="3173" w:type="dxa"/>
            <w:shd w:val="clear" w:color="auto" w:fill="auto"/>
          </w:tcPr>
          <w:p w:rsidR="000F2A93" w:rsidRPr="009E76B5" w:rsidRDefault="000F2A93" w:rsidP="00D64C14">
            <w:pPr>
              <w:widowControl/>
              <w:rPr>
                <w:szCs w:val="20"/>
              </w:rPr>
            </w:pPr>
            <w:r w:rsidRPr="009E76B5">
              <w:rPr>
                <w:szCs w:val="20"/>
              </w:rPr>
              <w:t>FY 1</w:t>
            </w:r>
            <w:r>
              <w:rPr>
                <w:szCs w:val="20"/>
              </w:rPr>
              <w:t xml:space="preserve">4 </w:t>
            </w:r>
            <w:r w:rsidRPr="009E76B5">
              <w:rPr>
                <w:szCs w:val="20"/>
              </w:rPr>
              <w:t>expenditures</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Pr>
                <w:sz w:val="24"/>
              </w:rPr>
              <w:t>2</w:t>
            </w:r>
            <w:r w:rsidRPr="009E76B5">
              <w:rPr>
                <w:sz w:val="24"/>
              </w:rPr>
              <w:t>/</w:t>
            </w:r>
            <w:r>
              <w:rPr>
                <w:sz w:val="24"/>
              </w:rPr>
              <w:t>28</w:t>
            </w:r>
            <w:r w:rsidRPr="009E76B5">
              <w:rPr>
                <w:sz w:val="24"/>
              </w:rPr>
              <w:t>/201</w:t>
            </w:r>
            <w:r>
              <w:rPr>
                <w:sz w:val="24"/>
              </w:rPr>
              <w:t>7</w:t>
            </w:r>
          </w:p>
        </w:tc>
        <w:tc>
          <w:tcPr>
            <w:tcW w:w="3772" w:type="dxa"/>
            <w:shd w:val="clear" w:color="auto" w:fill="auto"/>
          </w:tcPr>
          <w:p w:rsidR="000F2A93" w:rsidRPr="009E76B5" w:rsidRDefault="000F2A93" w:rsidP="00D64C14">
            <w:pPr>
              <w:widowControl/>
              <w:rPr>
                <w:sz w:val="24"/>
              </w:rPr>
            </w:pPr>
            <w:r w:rsidRPr="009E76B5">
              <w:rPr>
                <w:szCs w:val="20"/>
              </w:rPr>
              <w:t>Administrative Cost Report</w:t>
            </w:r>
          </w:p>
        </w:tc>
        <w:tc>
          <w:tcPr>
            <w:tcW w:w="3173" w:type="dxa"/>
            <w:shd w:val="clear" w:color="auto" w:fill="auto"/>
          </w:tcPr>
          <w:p w:rsidR="000F2A93" w:rsidRPr="009E76B5" w:rsidRDefault="000F2A93" w:rsidP="00D64C14">
            <w:pPr>
              <w:widowControl/>
              <w:rPr>
                <w:sz w:val="24"/>
              </w:rPr>
            </w:pPr>
            <w:r w:rsidRPr="009E76B5">
              <w:rPr>
                <w:szCs w:val="20"/>
              </w:rPr>
              <w:t>For the fiscal year ending October 1 to September 30</w:t>
            </w:r>
            <w:r w:rsidRPr="009E76B5">
              <w:rPr>
                <w:sz w:val="24"/>
              </w:rPr>
              <w:t xml:space="preserve"> </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3/31/201</w:t>
            </w:r>
            <w:r>
              <w:rPr>
                <w:sz w:val="24"/>
              </w:rPr>
              <w:t>7</w:t>
            </w:r>
          </w:p>
        </w:tc>
        <w:tc>
          <w:tcPr>
            <w:tcW w:w="3772" w:type="dxa"/>
            <w:shd w:val="clear" w:color="auto" w:fill="auto"/>
          </w:tcPr>
          <w:p w:rsidR="000F2A93" w:rsidRPr="009E76B5" w:rsidRDefault="000F2A93" w:rsidP="00D64C14">
            <w:pPr>
              <w:widowControl/>
              <w:rPr>
                <w:szCs w:val="20"/>
              </w:rPr>
            </w:pPr>
            <w:r w:rsidRPr="009E76B5">
              <w:rPr>
                <w:szCs w:val="20"/>
              </w:rPr>
              <w:t>SUD - Maintenance of Effort (MOE) Report</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 w:val="24"/>
              </w:rPr>
              <w:t>6/30/201</w:t>
            </w:r>
            <w:r>
              <w:rPr>
                <w:sz w:val="24"/>
              </w:rPr>
              <w:t>7</w:t>
            </w:r>
          </w:p>
        </w:tc>
        <w:tc>
          <w:tcPr>
            <w:tcW w:w="3772" w:type="dxa"/>
            <w:shd w:val="clear" w:color="auto" w:fill="auto"/>
          </w:tcPr>
          <w:p w:rsidR="000F2A93" w:rsidRPr="009E76B5" w:rsidRDefault="000F2A93" w:rsidP="00D64C14">
            <w:pPr>
              <w:widowControl/>
              <w:rPr>
                <w:szCs w:val="20"/>
              </w:rPr>
            </w:pPr>
            <w:r w:rsidRPr="009E76B5">
              <w:rPr>
                <w:szCs w:val="20"/>
              </w:rPr>
              <w:t>SUD – Audit Report</w:t>
            </w:r>
          </w:p>
        </w:tc>
        <w:tc>
          <w:tcPr>
            <w:tcW w:w="3173" w:type="dxa"/>
            <w:shd w:val="clear" w:color="auto" w:fill="auto"/>
          </w:tcPr>
          <w:p w:rsidR="000F2A93" w:rsidRPr="009E76B5" w:rsidRDefault="000F2A93" w:rsidP="00D64C14">
            <w:pPr>
              <w:widowControl/>
              <w:rPr>
                <w:szCs w:val="20"/>
              </w:rPr>
            </w:pPr>
            <w:r w:rsidRPr="009E76B5">
              <w:rPr>
                <w:szCs w:val="20"/>
              </w:rPr>
              <w:t>October 1 to September 30 (Due 9 months after close of fiscal year)</w:t>
            </w:r>
          </w:p>
        </w:tc>
      </w:tr>
      <w:tr w:rsidR="000F2A93" w:rsidRPr="009E76B5" w:rsidTr="00D64C14">
        <w:trPr>
          <w:jc w:val="center"/>
        </w:trPr>
        <w:tc>
          <w:tcPr>
            <w:tcW w:w="1983" w:type="dxa"/>
            <w:shd w:val="clear" w:color="auto" w:fill="auto"/>
          </w:tcPr>
          <w:p w:rsidR="000F2A93" w:rsidRPr="009E76B5" w:rsidRDefault="000F2A93" w:rsidP="00D64C14">
            <w:pPr>
              <w:widowControl/>
              <w:rPr>
                <w:sz w:val="24"/>
              </w:rPr>
            </w:pPr>
            <w:r w:rsidRPr="009E76B5">
              <w:rPr>
                <w:szCs w:val="20"/>
              </w:rPr>
              <w:t>30 Days after submission</w:t>
            </w:r>
          </w:p>
        </w:tc>
        <w:tc>
          <w:tcPr>
            <w:tcW w:w="3772" w:type="dxa"/>
            <w:shd w:val="clear" w:color="auto" w:fill="auto"/>
          </w:tcPr>
          <w:p w:rsidR="000F2A93" w:rsidRPr="009E76B5" w:rsidRDefault="000F2A93" w:rsidP="00D64C14">
            <w:pPr>
              <w:widowControl/>
              <w:rPr>
                <w:sz w:val="24"/>
              </w:rPr>
            </w:pPr>
            <w:r w:rsidRPr="009E76B5">
              <w:rPr>
                <w:szCs w:val="20"/>
              </w:rPr>
              <w:t>Annual Audit Report, Management Letter, and CMHSP Response to the Management Letter. Compliance exam and plan of correction</w:t>
            </w:r>
          </w:p>
        </w:tc>
        <w:tc>
          <w:tcPr>
            <w:tcW w:w="3173" w:type="dxa"/>
            <w:shd w:val="clear" w:color="auto" w:fill="auto"/>
          </w:tcPr>
          <w:p w:rsidR="000F2A93" w:rsidRPr="009E76B5" w:rsidRDefault="000F2A93" w:rsidP="00D64C14">
            <w:pPr>
              <w:widowControl/>
              <w:rPr>
                <w:szCs w:val="20"/>
              </w:rPr>
            </w:pPr>
            <w:r w:rsidRPr="009E76B5">
              <w:rPr>
                <w:szCs w:val="20"/>
              </w:rPr>
              <w:t>October 1 to September 30</w:t>
            </w:r>
          </w:p>
          <w:p w:rsidR="000F2A93" w:rsidRPr="009E76B5" w:rsidRDefault="000F2A93" w:rsidP="00D64C14">
            <w:pPr>
              <w:widowControl/>
              <w:rPr>
                <w:szCs w:val="20"/>
              </w:rPr>
            </w:pPr>
            <w:r w:rsidRPr="009E76B5">
              <w:rPr>
                <w:szCs w:val="20"/>
              </w:rPr>
              <w:t>Submit reports to:</w:t>
            </w:r>
          </w:p>
          <w:p w:rsidR="000F2A93" w:rsidRPr="009E76B5" w:rsidRDefault="000F2A93" w:rsidP="00D64C14">
            <w:pPr>
              <w:widowControl/>
              <w:rPr>
                <w:szCs w:val="20"/>
                <w:u w:val="single"/>
              </w:rPr>
            </w:pPr>
            <w:r w:rsidRPr="009E76B5">
              <w:rPr>
                <w:szCs w:val="20"/>
                <w:u w:val="single"/>
              </w:rPr>
              <w:t>MDH</w:t>
            </w:r>
            <w:r>
              <w:rPr>
                <w:szCs w:val="20"/>
                <w:u w:val="single"/>
              </w:rPr>
              <w:t>HS</w:t>
            </w:r>
            <w:r w:rsidRPr="009E76B5">
              <w:rPr>
                <w:szCs w:val="20"/>
                <w:u w:val="single"/>
              </w:rPr>
              <w:t>AuditReports@michigan.gov</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r w:rsidRPr="009E76B5">
              <w:rPr>
                <w:szCs w:val="20"/>
              </w:rPr>
              <w:t>Monthly (Last day each month)</w:t>
            </w:r>
          </w:p>
        </w:tc>
        <w:tc>
          <w:tcPr>
            <w:tcW w:w="3772" w:type="dxa"/>
            <w:shd w:val="clear" w:color="auto" w:fill="auto"/>
          </w:tcPr>
          <w:p w:rsidR="000F2A93" w:rsidRPr="009E76B5" w:rsidRDefault="000F2A93" w:rsidP="00D64C14">
            <w:pPr>
              <w:widowControl/>
              <w:rPr>
                <w:szCs w:val="20"/>
              </w:rPr>
            </w:pPr>
            <w:r>
              <w:rPr>
                <w:szCs w:val="20"/>
              </w:rPr>
              <w:t xml:space="preserve"> BH-TEDS</w:t>
            </w:r>
            <w:r w:rsidRPr="009E76B5">
              <w:rPr>
                <w:szCs w:val="20"/>
              </w:rPr>
              <w:t>- Treatment Episode Data Set (TEDS)</w:t>
            </w:r>
          </w:p>
        </w:tc>
        <w:tc>
          <w:tcPr>
            <w:tcW w:w="3173" w:type="dxa"/>
            <w:shd w:val="clear" w:color="auto" w:fill="auto"/>
          </w:tcPr>
          <w:p w:rsidR="000F2A93" w:rsidRPr="009E76B5" w:rsidRDefault="000F2A93" w:rsidP="00D64C14">
            <w:pPr>
              <w:widowControl/>
              <w:rPr>
                <w:szCs w:val="20"/>
              </w:rPr>
            </w:pPr>
            <w:r w:rsidRPr="009E76B5">
              <w:rPr>
                <w:szCs w:val="20"/>
              </w:rPr>
              <w:t>October 1 to September 30 (Via DEG to MDH</w:t>
            </w:r>
            <w:r>
              <w:rPr>
                <w:szCs w:val="20"/>
              </w:rPr>
              <w:t>HS</w:t>
            </w:r>
            <w:r w:rsidRPr="009E76B5">
              <w:rPr>
                <w:szCs w:val="20"/>
              </w:rPr>
              <w:t>/MIS Operations – see note below)</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r w:rsidRPr="009E76B5">
              <w:rPr>
                <w:szCs w:val="20"/>
              </w:rPr>
              <w:t>Monthly (Last day of month following the month in which the data was uploaded)</w:t>
            </w:r>
          </w:p>
        </w:tc>
        <w:tc>
          <w:tcPr>
            <w:tcW w:w="3772" w:type="dxa"/>
            <w:shd w:val="clear" w:color="auto" w:fill="auto"/>
          </w:tcPr>
          <w:p w:rsidR="000F2A93" w:rsidRPr="009E76B5" w:rsidRDefault="000F2A93" w:rsidP="00D64C14">
            <w:pPr>
              <w:widowControl/>
              <w:rPr>
                <w:szCs w:val="20"/>
              </w:rPr>
            </w:pPr>
            <w:r w:rsidRPr="009E76B5">
              <w:rPr>
                <w:szCs w:val="20"/>
              </w:rPr>
              <w:t>SUD - Michigan Prevention Data System (MPDS)</w:t>
            </w:r>
          </w:p>
        </w:tc>
        <w:tc>
          <w:tcPr>
            <w:tcW w:w="3173" w:type="dxa"/>
            <w:shd w:val="clear" w:color="auto" w:fill="auto"/>
          </w:tcPr>
          <w:p w:rsidR="000F2A93" w:rsidRPr="009E76B5" w:rsidRDefault="000F2A93" w:rsidP="00D64C14">
            <w:pPr>
              <w:widowControl/>
              <w:rPr>
                <w:szCs w:val="20"/>
              </w:rPr>
            </w:pPr>
            <w:r w:rsidRPr="009E76B5">
              <w:rPr>
                <w:szCs w:val="20"/>
              </w:rPr>
              <w:t>October 1 to September 30 (submit to:  mdh</w:t>
            </w:r>
            <w:r>
              <w:rPr>
                <w:szCs w:val="20"/>
              </w:rPr>
              <w:t>hs</w:t>
            </w:r>
            <w:r w:rsidRPr="009E76B5">
              <w:rPr>
                <w:szCs w:val="20"/>
              </w:rPr>
              <w:t>.sudpds.com)</w:t>
            </w:r>
          </w:p>
        </w:tc>
      </w:tr>
      <w:tr w:rsidR="000F2A93" w:rsidRPr="009E76B5" w:rsidTr="00D64C14">
        <w:trPr>
          <w:jc w:val="center"/>
        </w:trPr>
        <w:tc>
          <w:tcPr>
            <w:tcW w:w="1983" w:type="dxa"/>
            <w:shd w:val="clear" w:color="auto" w:fill="auto"/>
          </w:tcPr>
          <w:p w:rsidR="000F2A93" w:rsidRPr="009E76B5" w:rsidRDefault="000F2A93" w:rsidP="00D64C14">
            <w:pPr>
              <w:widowControl/>
              <w:rPr>
                <w:szCs w:val="20"/>
              </w:rPr>
            </w:pPr>
            <w:r w:rsidRPr="009E76B5">
              <w:rPr>
                <w:szCs w:val="20"/>
              </w:rPr>
              <w:t>Monthly (minimum 12 submissions per year)</w:t>
            </w:r>
          </w:p>
        </w:tc>
        <w:tc>
          <w:tcPr>
            <w:tcW w:w="3772" w:type="dxa"/>
            <w:shd w:val="clear" w:color="auto" w:fill="auto"/>
          </w:tcPr>
          <w:p w:rsidR="000F2A93" w:rsidRPr="009E76B5" w:rsidRDefault="000F2A93" w:rsidP="00D64C14">
            <w:pPr>
              <w:widowControl/>
              <w:rPr>
                <w:szCs w:val="20"/>
              </w:rPr>
            </w:pPr>
            <w:r w:rsidRPr="009E76B5">
              <w:rPr>
                <w:szCs w:val="20"/>
              </w:rPr>
              <w:t>SUD - Encounter Reporting via HIPPA 837 Standard Transactions</w:t>
            </w:r>
          </w:p>
        </w:tc>
        <w:tc>
          <w:tcPr>
            <w:tcW w:w="3173" w:type="dxa"/>
            <w:shd w:val="clear" w:color="auto" w:fill="auto"/>
          </w:tcPr>
          <w:p w:rsidR="000F2A93" w:rsidRPr="009E76B5" w:rsidRDefault="000F2A93" w:rsidP="00D64C14">
            <w:pPr>
              <w:widowControl/>
              <w:rPr>
                <w:szCs w:val="20"/>
              </w:rPr>
            </w:pPr>
            <w:r w:rsidRPr="009E76B5">
              <w:rPr>
                <w:szCs w:val="20"/>
              </w:rPr>
              <w:t>October 1 to September 30 (Via DEG to MDH</w:t>
            </w:r>
            <w:r>
              <w:rPr>
                <w:szCs w:val="20"/>
              </w:rPr>
              <w:t>HS</w:t>
            </w:r>
            <w:r w:rsidRPr="009E76B5">
              <w:rPr>
                <w:szCs w:val="20"/>
              </w:rPr>
              <w:t>/MIS Operations – see note below)</w:t>
            </w:r>
          </w:p>
        </w:tc>
      </w:tr>
    </w:tbl>
    <w:p w:rsidR="000F2A93" w:rsidRPr="009E76B5" w:rsidRDefault="000F2A93" w:rsidP="000F2A93">
      <w:pPr>
        <w:widowControl/>
        <w:autoSpaceDE/>
        <w:autoSpaceDN/>
        <w:adjustRightInd/>
        <w:rPr>
          <w:sz w:val="24"/>
        </w:rPr>
      </w:pPr>
    </w:p>
    <w:p w:rsidR="000F2A93" w:rsidRPr="009E76B5" w:rsidRDefault="000F2A93" w:rsidP="000F2A93">
      <w:pPr>
        <w:widowControl/>
        <w:autoSpaceDE/>
        <w:autoSpaceDN/>
        <w:adjustRightInd/>
        <w:rPr>
          <w:sz w:val="24"/>
        </w:rPr>
      </w:pPr>
    </w:p>
    <w:p w:rsidR="000F2A93" w:rsidRPr="009E76B5" w:rsidRDefault="000F2A93" w:rsidP="000F2A93">
      <w:pPr>
        <w:widowControl/>
        <w:autoSpaceDE/>
        <w:autoSpaceDN/>
        <w:adjustRightInd/>
        <w:rPr>
          <w:b/>
          <w:sz w:val="24"/>
        </w:rPr>
      </w:pPr>
      <w:r w:rsidRPr="009E76B5">
        <w:rPr>
          <w:b/>
          <w:sz w:val="24"/>
        </w:rPr>
        <w:t>NOTE: To submit via DEG to MDH</w:t>
      </w:r>
      <w:r>
        <w:rPr>
          <w:b/>
          <w:sz w:val="24"/>
        </w:rPr>
        <w:t>HS</w:t>
      </w:r>
      <w:r w:rsidRPr="009E76B5">
        <w:rPr>
          <w:b/>
          <w:sz w:val="24"/>
        </w:rPr>
        <w:t>/MIS Operations</w:t>
      </w:r>
    </w:p>
    <w:p w:rsidR="000F2A93" w:rsidRPr="009E76B5" w:rsidRDefault="000F2A93" w:rsidP="000F2A93">
      <w:pPr>
        <w:widowControl/>
        <w:autoSpaceDE/>
        <w:autoSpaceDN/>
        <w:adjustRightInd/>
        <w:rPr>
          <w:sz w:val="24"/>
        </w:rPr>
      </w:pPr>
      <w:r w:rsidRPr="009E76B5">
        <w:rPr>
          <w:sz w:val="24"/>
        </w:rPr>
        <w:t>Client Admission and Discharge client records must be sent electronically to:</w:t>
      </w:r>
    </w:p>
    <w:p w:rsidR="000F2A93" w:rsidRPr="009E76B5" w:rsidRDefault="000F2A93" w:rsidP="000F2A93">
      <w:pPr>
        <w:widowControl/>
        <w:autoSpaceDE/>
        <w:autoSpaceDN/>
        <w:adjustRightInd/>
        <w:rPr>
          <w:sz w:val="24"/>
        </w:rPr>
      </w:pPr>
      <w:r w:rsidRPr="009E76B5">
        <w:rPr>
          <w:sz w:val="24"/>
        </w:rPr>
        <w:t xml:space="preserve">Michigan Department </w:t>
      </w:r>
      <w:proofErr w:type="gramStart"/>
      <w:r w:rsidRPr="009E76B5">
        <w:rPr>
          <w:sz w:val="24"/>
        </w:rPr>
        <w:t>of  Health</w:t>
      </w:r>
      <w:proofErr w:type="gramEnd"/>
      <w:r>
        <w:rPr>
          <w:sz w:val="24"/>
        </w:rPr>
        <w:t xml:space="preserve"> and Human Services</w:t>
      </w:r>
    </w:p>
    <w:p w:rsidR="000F2A93" w:rsidRPr="009E76B5" w:rsidRDefault="000F2A93" w:rsidP="000F2A93">
      <w:pPr>
        <w:widowControl/>
        <w:autoSpaceDE/>
        <w:autoSpaceDN/>
        <w:adjustRightInd/>
        <w:rPr>
          <w:sz w:val="24"/>
        </w:rPr>
      </w:pPr>
      <w:r w:rsidRPr="009E76B5">
        <w:rPr>
          <w:sz w:val="24"/>
        </w:rPr>
        <w:t>Michigan Department of Technology, Management &amp; Budget</w:t>
      </w:r>
    </w:p>
    <w:p w:rsidR="000F2A93" w:rsidRPr="009E76B5" w:rsidRDefault="000F2A93" w:rsidP="000F2A93">
      <w:pPr>
        <w:widowControl/>
        <w:autoSpaceDE/>
        <w:autoSpaceDN/>
        <w:adjustRightInd/>
        <w:rPr>
          <w:sz w:val="24"/>
        </w:rPr>
      </w:pPr>
      <w:r w:rsidRPr="009E76B5">
        <w:rPr>
          <w:sz w:val="24"/>
        </w:rPr>
        <w:t>Data Exchange Gateway (DEG)</w:t>
      </w:r>
    </w:p>
    <w:p w:rsidR="000F2A93" w:rsidRPr="009E76B5" w:rsidRDefault="000F2A93" w:rsidP="000F2A93">
      <w:pPr>
        <w:widowControl/>
        <w:autoSpaceDE/>
        <w:autoSpaceDN/>
        <w:adjustRightInd/>
        <w:rPr>
          <w:sz w:val="24"/>
        </w:rPr>
      </w:pPr>
      <w:r w:rsidRPr="009E76B5">
        <w:rPr>
          <w:sz w:val="24"/>
        </w:rPr>
        <w:t>For admissions:  put c:/4823 4823@dchbull</w:t>
      </w:r>
    </w:p>
    <w:p w:rsidR="000F2A93" w:rsidRPr="009E76B5" w:rsidRDefault="000F2A93" w:rsidP="000F2A93">
      <w:pPr>
        <w:widowControl/>
        <w:autoSpaceDE/>
        <w:autoSpaceDN/>
        <w:adjustRightInd/>
        <w:rPr>
          <w:sz w:val="24"/>
        </w:rPr>
      </w:pPr>
      <w:r w:rsidRPr="009E76B5">
        <w:rPr>
          <w:sz w:val="24"/>
        </w:rPr>
        <w:t>For discharges:  put c:/4824 4824@dchbull</w:t>
      </w:r>
    </w:p>
    <w:p w:rsidR="000F2A93" w:rsidRDefault="000F2A93" w:rsidP="000F2A93">
      <w:pPr>
        <w:widowControl/>
        <w:autoSpaceDE/>
        <w:autoSpaceDN/>
        <w:adjustRightInd/>
        <w:rPr>
          <w:color w:val="000000"/>
          <w:sz w:val="24"/>
        </w:rPr>
      </w:pPr>
    </w:p>
    <w:p w:rsidR="000F2A93" w:rsidRDefault="000F2A93" w:rsidP="000F2A93">
      <w:pPr>
        <w:widowControl/>
        <w:autoSpaceDE/>
        <w:autoSpaceDN/>
        <w:adjustRightInd/>
        <w:rPr>
          <w:color w:val="000000"/>
          <w:sz w:val="24"/>
        </w:rPr>
      </w:pPr>
    </w:p>
    <w:p w:rsidR="000F2A93" w:rsidRPr="00D6538C" w:rsidRDefault="000F2A93" w:rsidP="000F2A93">
      <w:pPr>
        <w:pStyle w:val="Heading1"/>
        <w:rPr>
          <w:bCs w:val="0"/>
        </w:rPr>
      </w:pPr>
      <w:bookmarkStart w:id="1" w:name="_Toc426379970"/>
      <w:r>
        <w:rPr>
          <w:bCs w:val="0"/>
        </w:rPr>
        <w:t>PIHP NON-FINANCIAL REPORTING REQUIREMENTS SCHEDULE INCLUDING</w:t>
      </w:r>
      <w:r w:rsidRPr="00D6538C">
        <w:rPr>
          <w:bCs w:val="0"/>
        </w:rPr>
        <w:t xml:space="preserve"> SUD R</w:t>
      </w:r>
      <w:r>
        <w:rPr>
          <w:bCs w:val="0"/>
        </w:rPr>
        <w:t>EPORTS</w:t>
      </w:r>
      <w:bookmarkEnd w:id="1"/>
    </w:p>
    <w:p w:rsidR="000F2A93" w:rsidRPr="00862CE0" w:rsidRDefault="000F2A93" w:rsidP="000F2A93">
      <w:pPr>
        <w:widowControl/>
        <w:rPr>
          <w:sz w:val="24"/>
        </w:rPr>
      </w:pPr>
    </w:p>
    <w:p w:rsidR="000F2A93" w:rsidRPr="00862CE0" w:rsidRDefault="000F2A93" w:rsidP="000F2A93">
      <w:pPr>
        <w:widowControl/>
        <w:jc w:val="center"/>
        <w:rPr>
          <w:color w:val="0000FF"/>
          <w:sz w:val="24"/>
          <w:u w:val="single"/>
        </w:rPr>
      </w:pPr>
      <w:r w:rsidRPr="00862CE0">
        <w:rPr>
          <w:sz w:val="24"/>
        </w:rPr>
        <w:t>The PIHP shall provide the following reports to MDH</w:t>
      </w:r>
      <w:r>
        <w:rPr>
          <w:sz w:val="24"/>
        </w:rPr>
        <w:t>HS</w:t>
      </w:r>
      <w:r w:rsidRPr="00862CE0">
        <w:rPr>
          <w:sz w:val="24"/>
        </w:rPr>
        <w:t xml:space="preserve"> as listed below.</w:t>
      </w:r>
    </w:p>
    <w:p w:rsidR="000F2A93" w:rsidRPr="00862CE0" w:rsidRDefault="000F2A93" w:rsidP="000F2A93">
      <w:pPr>
        <w:widowControl/>
        <w:rPr>
          <w:sz w:val="24"/>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3772"/>
        <w:gridCol w:w="3173"/>
      </w:tblGrid>
      <w:tr w:rsidR="000F2A93" w:rsidRPr="00862CE0" w:rsidTr="00D64C14">
        <w:trPr>
          <w:jc w:val="center"/>
        </w:trPr>
        <w:tc>
          <w:tcPr>
            <w:tcW w:w="1983" w:type="dxa"/>
            <w:shd w:val="clear" w:color="auto" w:fill="auto"/>
          </w:tcPr>
          <w:p w:rsidR="000F2A93" w:rsidRPr="0074286B" w:rsidRDefault="000F2A93" w:rsidP="00D64C14">
            <w:pPr>
              <w:widowControl/>
              <w:rPr>
                <w:b/>
                <w:szCs w:val="20"/>
                <w:u w:val="single"/>
              </w:rPr>
            </w:pPr>
            <w:r w:rsidRPr="0074286B">
              <w:rPr>
                <w:b/>
                <w:szCs w:val="20"/>
                <w:u w:val="single"/>
              </w:rPr>
              <w:t>Due Date</w:t>
            </w:r>
          </w:p>
          <w:p w:rsidR="000F2A93" w:rsidRPr="0074286B" w:rsidRDefault="000F2A93" w:rsidP="00D64C14">
            <w:pPr>
              <w:widowControl/>
              <w:rPr>
                <w:szCs w:val="20"/>
              </w:rPr>
            </w:pPr>
          </w:p>
        </w:tc>
        <w:tc>
          <w:tcPr>
            <w:tcW w:w="3772" w:type="dxa"/>
            <w:shd w:val="clear" w:color="auto" w:fill="auto"/>
          </w:tcPr>
          <w:p w:rsidR="000F2A93" w:rsidRPr="0074286B" w:rsidRDefault="000F2A93" w:rsidP="00D64C14">
            <w:pPr>
              <w:widowControl/>
              <w:ind w:firstLine="720"/>
              <w:rPr>
                <w:b/>
                <w:szCs w:val="20"/>
                <w:u w:val="single"/>
              </w:rPr>
            </w:pPr>
            <w:r w:rsidRPr="0074286B">
              <w:rPr>
                <w:b/>
                <w:szCs w:val="20"/>
                <w:u w:val="single"/>
              </w:rPr>
              <w:t>Report Title</w:t>
            </w:r>
          </w:p>
          <w:p w:rsidR="000F2A93" w:rsidRPr="0074286B" w:rsidRDefault="000F2A93" w:rsidP="00D64C14">
            <w:pPr>
              <w:widowControl/>
              <w:rPr>
                <w:szCs w:val="20"/>
              </w:rPr>
            </w:pPr>
          </w:p>
        </w:tc>
        <w:tc>
          <w:tcPr>
            <w:tcW w:w="3173" w:type="dxa"/>
            <w:shd w:val="clear" w:color="auto" w:fill="auto"/>
          </w:tcPr>
          <w:p w:rsidR="000F2A93" w:rsidRPr="0074286B" w:rsidRDefault="000F2A93" w:rsidP="00D64C14">
            <w:pPr>
              <w:widowControl/>
              <w:rPr>
                <w:b/>
                <w:szCs w:val="20"/>
                <w:u w:val="single"/>
              </w:rPr>
            </w:pPr>
            <w:r w:rsidRPr="0074286B">
              <w:rPr>
                <w:b/>
                <w:szCs w:val="20"/>
                <w:u w:val="single"/>
              </w:rPr>
              <w:t>Report Period</w:t>
            </w:r>
          </w:p>
          <w:p w:rsidR="000F2A93" w:rsidRPr="0074286B" w:rsidRDefault="000F2A93" w:rsidP="00D64C14">
            <w:pPr>
              <w:widowControl/>
              <w:rPr>
                <w:szCs w:val="20"/>
              </w:rPr>
            </w:pP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11/29/201</w:t>
            </w:r>
            <w:r>
              <w:rPr>
                <w:szCs w:val="20"/>
              </w:rPr>
              <w:t>5</w:t>
            </w:r>
          </w:p>
        </w:tc>
        <w:tc>
          <w:tcPr>
            <w:tcW w:w="3772" w:type="dxa"/>
            <w:shd w:val="clear" w:color="auto" w:fill="auto"/>
          </w:tcPr>
          <w:p w:rsidR="000F2A93" w:rsidRPr="0074286B" w:rsidRDefault="000F2A93" w:rsidP="00D64C14">
            <w:pPr>
              <w:widowControl/>
              <w:rPr>
                <w:szCs w:val="20"/>
              </w:rPr>
            </w:pPr>
            <w:r w:rsidRPr="0074286B">
              <w:rPr>
                <w:szCs w:val="20"/>
              </w:rPr>
              <w:t xml:space="preserve">SUD – </w:t>
            </w:r>
            <w:proofErr w:type="spellStart"/>
            <w:r w:rsidRPr="0074286B">
              <w:rPr>
                <w:szCs w:val="20"/>
              </w:rPr>
              <w:t>Synar</w:t>
            </w:r>
            <w:proofErr w:type="spellEnd"/>
            <w:r w:rsidRPr="0074286B">
              <w:rPr>
                <w:szCs w:val="20"/>
              </w:rPr>
              <w:t xml:space="preserve"> Coverage Study Canvassing Forms</w:t>
            </w:r>
          </w:p>
        </w:tc>
        <w:tc>
          <w:tcPr>
            <w:tcW w:w="3173" w:type="dxa"/>
            <w:shd w:val="clear" w:color="auto" w:fill="auto"/>
          </w:tcPr>
          <w:p w:rsidR="000F2A93" w:rsidRPr="0074286B" w:rsidRDefault="000F2A93" w:rsidP="00D64C14">
            <w:pPr>
              <w:widowControl/>
              <w:rPr>
                <w:szCs w:val="20"/>
              </w:rPr>
            </w:pPr>
            <w:r w:rsidRPr="0074286B">
              <w:rPr>
                <w:szCs w:val="20"/>
              </w:rPr>
              <w:t>October 1 to September 30</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03/15/201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 xml:space="preserve">SUD – Tobacco/Formal </w:t>
            </w:r>
            <w:proofErr w:type="spellStart"/>
            <w:r w:rsidRPr="0074286B">
              <w:rPr>
                <w:szCs w:val="20"/>
              </w:rPr>
              <w:t>Synar</w:t>
            </w:r>
            <w:proofErr w:type="spellEnd"/>
            <w:r w:rsidRPr="0074286B">
              <w:rPr>
                <w:szCs w:val="20"/>
              </w:rPr>
              <w:t xml:space="preserve"> – Youth Access to Tobacco (YAT) Compliance Checks Report</w:t>
            </w:r>
          </w:p>
        </w:tc>
        <w:tc>
          <w:tcPr>
            <w:tcW w:w="3173" w:type="dxa"/>
            <w:shd w:val="clear" w:color="auto" w:fill="auto"/>
          </w:tcPr>
          <w:p w:rsidR="000F2A93" w:rsidRPr="0074286B" w:rsidRDefault="000F2A93" w:rsidP="00D64C14">
            <w:pPr>
              <w:widowControl/>
              <w:rPr>
                <w:szCs w:val="20"/>
              </w:rPr>
            </w:pPr>
            <w:r w:rsidRPr="0074286B">
              <w:rPr>
                <w:szCs w:val="20"/>
              </w:rPr>
              <w:t>February 1 to 28</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03/31/201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Performance Indicators (2)</w:t>
            </w:r>
          </w:p>
        </w:tc>
        <w:tc>
          <w:tcPr>
            <w:tcW w:w="3173" w:type="dxa"/>
            <w:shd w:val="clear" w:color="auto" w:fill="auto"/>
          </w:tcPr>
          <w:p w:rsidR="000F2A93" w:rsidRPr="0074286B" w:rsidRDefault="000F2A93" w:rsidP="00D64C14">
            <w:pPr>
              <w:widowControl/>
              <w:rPr>
                <w:szCs w:val="20"/>
              </w:rPr>
            </w:pP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04/30/201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SUD – Sentinel Events Data Report (residential treatment only)</w:t>
            </w:r>
          </w:p>
        </w:tc>
        <w:tc>
          <w:tcPr>
            <w:tcW w:w="3173" w:type="dxa"/>
            <w:shd w:val="clear" w:color="auto" w:fill="auto"/>
          </w:tcPr>
          <w:p w:rsidR="000F2A93" w:rsidRPr="0074286B" w:rsidRDefault="000F2A93" w:rsidP="00D64C14">
            <w:pPr>
              <w:widowControl/>
              <w:rPr>
                <w:szCs w:val="20"/>
              </w:rPr>
            </w:pPr>
            <w:r w:rsidRPr="0074286B">
              <w:rPr>
                <w:szCs w:val="20"/>
              </w:rPr>
              <w:t>October 1 to March 31</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06/30/201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Performance Indicators</w:t>
            </w:r>
          </w:p>
        </w:tc>
        <w:tc>
          <w:tcPr>
            <w:tcW w:w="3173" w:type="dxa"/>
            <w:shd w:val="clear" w:color="auto" w:fill="auto"/>
          </w:tcPr>
          <w:p w:rsidR="000F2A93" w:rsidRPr="0074286B" w:rsidRDefault="000F2A93" w:rsidP="00D64C14">
            <w:pPr>
              <w:widowControl/>
              <w:rPr>
                <w:szCs w:val="20"/>
              </w:rPr>
            </w:pP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08/31/201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Consumer Satisfaction raw data</w:t>
            </w:r>
          </w:p>
        </w:tc>
        <w:tc>
          <w:tcPr>
            <w:tcW w:w="3173" w:type="dxa"/>
            <w:shd w:val="clear" w:color="auto" w:fill="auto"/>
          </w:tcPr>
          <w:p w:rsidR="000F2A93" w:rsidRPr="0074286B" w:rsidRDefault="000F2A93" w:rsidP="00D64C14">
            <w:pPr>
              <w:widowControl/>
              <w:rPr>
                <w:szCs w:val="20"/>
              </w:rPr>
            </w:pP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09/30/201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Performance Indicators</w:t>
            </w:r>
          </w:p>
        </w:tc>
        <w:tc>
          <w:tcPr>
            <w:tcW w:w="3173" w:type="dxa"/>
            <w:shd w:val="clear" w:color="auto" w:fill="auto"/>
          </w:tcPr>
          <w:p w:rsidR="000F2A93" w:rsidRPr="0074286B" w:rsidRDefault="000F2A93" w:rsidP="00D64C14">
            <w:pPr>
              <w:widowControl/>
              <w:rPr>
                <w:szCs w:val="20"/>
              </w:rPr>
            </w:pP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10/31/201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SUD – Youth Access to Tobacco Activity Annual Report</w:t>
            </w:r>
          </w:p>
        </w:tc>
        <w:tc>
          <w:tcPr>
            <w:tcW w:w="3173" w:type="dxa"/>
            <w:shd w:val="clear" w:color="auto" w:fill="auto"/>
          </w:tcPr>
          <w:p w:rsidR="000F2A93" w:rsidRPr="0074286B" w:rsidRDefault="000F2A93" w:rsidP="00D64C14">
            <w:pPr>
              <w:widowControl/>
              <w:rPr>
                <w:szCs w:val="20"/>
              </w:rPr>
            </w:pPr>
            <w:r w:rsidRPr="0074286B">
              <w:rPr>
                <w:szCs w:val="20"/>
              </w:rPr>
              <w:t>October 1 to September 30</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10/31/201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SUD – Sentinel Events Data Report (residential treatment only)</w:t>
            </w:r>
          </w:p>
        </w:tc>
        <w:tc>
          <w:tcPr>
            <w:tcW w:w="3173" w:type="dxa"/>
            <w:shd w:val="clear" w:color="auto" w:fill="auto"/>
          </w:tcPr>
          <w:p w:rsidR="000F2A93" w:rsidRPr="0074286B" w:rsidRDefault="000F2A93" w:rsidP="00D64C14">
            <w:pPr>
              <w:widowControl/>
              <w:rPr>
                <w:szCs w:val="20"/>
              </w:rPr>
            </w:pPr>
            <w:r w:rsidRPr="0074286B">
              <w:rPr>
                <w:szCs w:val="20"/>
              </w:rPr>
              <w:t>April 1 to September 30</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11/30/201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SUD – Tobacco Retailer Master List Updates</w:t>
            </w:r>
          </w:p>
        </w:tc>
        <w:tc>
          <w:tcPr>
            <w:tcW w:w="3173" w:type="dxa"/>
            <w:shd w:val="clear" w:color="auto" w:fill="auto"/>
          </w:tcPr>
          <w:p w:rsidR="000F2A93" w:rsidRPr="0074286B" w:rsidRDefault="000F2A93" w:rsidP="00D64C14">
            <w:pPr>
              <w:widowControl/>
              <w:rPr>
                <w:szCs w:val="20"/>
              </w:rPr>
            </w:pPr>
            <w:r w:rsidRPr="0074286B">
              <w:rPr>
                <w:szCs w:val="20"/>
              </w:rPr>
              <w:t>October 1 to September 30</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11/30/201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SUD – Communicable Disease (CD) Provider Information Report (Must be submitted only if PIHP funds CD services)</w:t>
            </w:r>
          </w:p>
        </w:tc>
        <w:tc>
          <w:tcPr>
            <w:tcW w:w="3173" w:type="dxa"/>
            <w:shd w:val="clear" w:color="auto" w:fill="auto"/>
          </w:tcPr>
          <w:p w:rsidR="000F2A93" w:rsidRPr="0074286B" w:rsidRDefault="000F2A93" w:rsidP="00D64C14">
            <w:pPr>
              <w:widowControl/>
              <w:rPr>
                <w:szCs w:val="20"/>
              </w:rPr>
            </w:pPr>
            <w:r w:rsidRPr="0074286B">
              <w:rPr>
                <w:szCs w:val="20"/>
              </w:rPr>
              <w:t>October 1 to September 30 (e-mail to mdh</w:t>
            </w:r>
            <w:r>
              <w:rPr>
                <w:szCs w:val="20"/>
              </w:rPr>
              <w:t>hs</w:t>
            </w:r>
            <w:r w:rsidRPr="0074286B">
              <w:rPr>
                <w:szCs w:val="20"/>
              </w:rPr>
              <w:t>-BDDHA@michigan.gov)</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12/31/201</w:t>
            </w:r>
            <w:r>
              <w:rPr>
                <w:szCs w:val="20"/>
              </w:rPr>
              <w:t>6</w:t>
            </w:r>
          </w:p>
        </w:tc>
        <w:tc>
          <w:tcPr>
            <w:tcW w:w="3772" w:type="dxa"/>
            <w:shd w:val="clear" w:color="auto" w:fill="auto"/>
          </w:tcPr>
          <w:p w:rsidR="000F2A93" w:rsidRPr="0074286B" w:rsidRDefault="000F2A93" w:rsidP="00D64C14">
            <w:pPr>
              <w:widowControl/>
              <w:rPr>
                <w:szCs w:val="20"/>
              </w:rPr>
            </w:pPr>
            <w:r w:rsidRPr="0074286B">
              <w:rPr>
                <w:szCs w:val="20"/>
              </w:rPr>
              <w:t>Performance Indicators</w:t>
            </w:r>
          </w:p>
        </w:tc>
        <w:tc>
          <w:tcPr>
            <w:tcW w:w="3173" w:type="dxa"/>
            <w:shd w:val="clear" w:color="auto" w:fill="auto"/>
          </w:tcPr>
          <w:p w:rsidR="000F2A93" w:rsidRPr="0074286B" w:rsidRDefault="000F2A93" w:rsidP="00D64C14">
            <w:pPr>
              <w:widowControl/>
              <w:rPr>
                <w:szCs w:val="20"/>
              </w:rPr>
            </w:pP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02/28/201</w:t>
            </w:r>
            <w:r>
              <w:rPr>
                <w:szCs w:val="20"/>
              </w:rPr>
              <w:t>7</w:t>
            </w:r>
          </w:p>
        </w:tc>
        <w:tc>
          <w:tcPr>
            <w:tcW w:w="3772" w:type="dxa"/>
            <w:shd w:val="clear" w:color="auto" w:fill="auto"/>
          </w:tcPr>
          <w:p w:rsidR="000F2A93" w:rsidRPr="0074286B" w:rsidRDefault="000F2A93" w:rsidP="00D64C14">
            <w:pPr>
              <w:widowControl/>
              <w:rPr>
                <w:szCs w:val="20"/>
              </w:rPr>
            </w:pPr>
            <w:r w:rsidRPr="0074286B">
              <w:rPr>
                <w:szCs w:val="20"/>
              </w:rPr>
              <w:t>Medicaid Utilization and Cost Report (MUNC)</w:t>
            </w:r>
          </w:p>
        </w:tc>
        <w:tc>
          <w:tcPr>
            <w:tcW w:w="3173" w:type="dxa"/>
            <w:shd w:val="clear" w:color="auto" w:fill="auto"/>
          </w:tcPr>
          <w:p w:rsidR="000F2A93" w:rsidRPr="0074286B" w:rsidRDefault="000F2A93" w:rsidP="00D64C14">
            <w:pPr>
              <w:widowControl/>
              <w:rPr>
                <w:szCs w:val="20"/>
              </w:rPr>
            </w:pPr>
            <w:r w:rsidRPr="0074286B">
              <w:rPr>
                <w:szCs w:val="20"/>
              </w:rPr>
              <w:t>October 1, 2014  to September 30 2015 submit report to QMPMeasures@michigan.gov</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Quarterly</w:t>
            </w:r>
          </w:p>
        </w:tc>
        <w:tc>
          <w:tcPr>
            <w:tcW w:w="3772" w:type="dxa"/>
            <w:shd w:val="clear" w:color="auto" w:fill="auto"/>
          </w:tcPr>
          <w:p w:rsidR="000F2A93" w:rsidRPr="0074286B" w:rsidRDefault="000F2A93" w:rsidP="00D64C14">
            <w:pPr>
              <w:widowControl/>
              <w:rPr>
                <w:szCs w:val="20"/>
              </w:rPr>
            </w:pPr>
            <w:r w:rsidRPr="0074286B">
              <w:rPr>
                <w:szCs w:val="20"/>
              </w:rPr>
              <w:t>SUD – Injecting Drug Users 90% Capacity Treatment Report</w:t>
            </w:r>
          </w:p>
        </w:tc>
        <w:tc>
          <w:tcPr>
            <w:tcW w:w="3173" w:type="dxa"/>
            <w:shd w:val="clear" w:color="auto" w:fill="auto"/>
          </w:tcPr>
          <w:p w:rsidR="000F2A93" w:rsidRPr="0074286B" w:rsidRDefault="000F2A93" w:rsidP="00D64C14">
            <w:pPr>
              <w:widowControl/>
              <w:rPr>
                <w:szCs w:val="20"/>
              </w:rPr>
            </w:pPr>
            <w:r w:rsidRPr="0074286B">
              <w:rPr>
                <w:szCs w:val="20"/>
              </w:rPr>
              <w:t>October 1 – September 30 – Due end of month following the last month of the quarter.</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 xml:space="preserve">Monthly </w:t>
            </w:r>
          </w:p>
        </w:tc>
        <w:tc>
          <w:tcPr>
            <w:tcW w:w="3772" w:type="dxa"/>
            <w:shd w:val="clear" w:color="auto" w:fill="auto"/>
          </w:tcPr>
          <w:p w:rsidR="000F2A93" w:rsidRPr="0074286B" w:rsidRDefault="000F2A93" w:rsidP="00D64C14">
            <w:pPr>
              <w:widowControl/>
              <w:rPr>
                <w:szCs w:val="20"/>
              </w:rPr>
            </w:pPr>
            <w:r w:rsidRPr="0074286B">
              <w:rPr>
                <w:szCs w:val="20"/>
              </w:rPr>
              <w:t>SUD - Priority Populations Waiting List Deficiencies Report</w:t>
            </w:r>
          </w:p>
        </w:tc>
        <w:tc>
          <w:tcPr>
            <w:tcW w:w="3173" w:type="dxa"/>
            <w:shd w:val="clear" w:color="auto" w:fill="auto"/>
          </w:tcPr>
          <w:p w:rsidR="000F2A93" w:rsidRPr="0074286B" w:rsidRDefault="000F2A93" w:rsidP="00D64C14">
            <w:pPr>
              <w:widowControl/>
              <w:rPr>
                <w:szCs w:val="20"/>
              </w:rPr>
            </w:pPr>
            <w:r w:rsidRPr="0074286B">
              <w:rPr>
                <w:szCs w:val="20"/>
              </w:rPr>
              <w:t>October 1 – September 30 – Due end of month following the month in which the exception occurred (must submit even if no data to report)</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Monthly (Last day each month)</w:t>
            </w:r>
          </w:p>
        </w:tc>
        <w:tc>
          <w:tcPr>
            <w:tcW w:w="3772" w:type="dxa"/>
            <w:shd w:val="clear" w:color="auto" w:fill="auto"/>
          </w:tcPr>
          <w:p w:rsidR="000F2A93" w:rsidRPr="0074286B" w:rsidRDefault="000F2A93" w:rsidP="00D64C14">
            <w:pPr>
              <w:widowControl/>
              <w:rPr>
                <w:szCs w:val="20"/>
              </w:rPr>
            </w:pPr>
            <w:r w:rsidRPr="0074286B">
              <w:rPr>
                <w:szCs w:val="20"/>
              </w:rPr>
              <w:t>SUD - Treatment Episode Data Set (TEDS)</w:t>
            </w:r>
          </w:p>
        </w:tc>
        <w:tc>
          <w:tcPr>
            <w:tcW w:w="3173" w:type="dxa"/>
            <w:shd w:val="clear" w:color="auto" w:fill="auto"/>
          </w:tcPr>
          <w:p w:rsidR="000F2A93" w:rsidRPr="0074286B" w:rsidRDefault="000F2A93" w:rsidP="00D64C14">
            <w:pPr>
              <w:widowControl/>
              <w:rPr>
                <w:szCs w:val="20"/>
              </w:rPr>
            </w:pPr>
            <w:r w:rsidRPr="0074286B">
              <w:rPr>
                <w:szCs w:val="20"/>
              </w:rPr>
              <w:t>October 1 to September 30 (Via DEG to MDH</w:t>
            </w:r>
            <w:r>
              <w:rPr>
                <w:szCs w:val="20"/>
              </w:rPr>
              <w:t>HS</w:t>
            </w:r>
            <w:r w:rsidRPr="0074286B">
              <w:rPr>
                <w:szCs w:val="20"/>
              </w:rPr>
              <w:t>/MIS Operations – see note below)</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Monthly (Last day of month following the month in which the data was uploaded)</w:t>
            </w:r>
          </w:p>
        </w:tc>
        <w:tc>
          <w:tcPr>
            <w:tcW w:w="3772" w:type="dxa"/>
            <w:shd w:val="clear" w:color="auto" w:fill="auto"/>
          </w:tcPr>
          <w:p w:rsidR="000F2A93" w:rsidRPr="0074286B" w:rsidRDefault="000F2A93" w:rsidP="00D64C14">
            <w:pPr>
              <w:widowControl/>
              <w:rPr>
                <w:szCs w:val="20"/>
              </w:rPr>
            </w:pPr>
            <w:r w:rsidRPr="0074286B">
              <w:rPr>
                <w:szCs w:val="20"/>
              </w:rPr>
              <w:t>SUD - Michigan Prevention Data System (MPDS)</w:t>
            </w:r>
          </w:p>
        </w:tc>
        <w:tc>
          <w:tcPr>
            <w:tcW w:w="3173" w:type="dxa"/>
            <w:shd w:val="clear" w:color="auto" w:fill="auto"/>
          </w:tcPr>
          <w:p w:rsidR="000F2A93" w:rsidRPr="0074286B" w:rsidRDefault="000F2A93" w:rsidP="00D64C14">
            <w:pPr>
              <w:widowControl/>
              <w:rPr>
                <w:szCs w:val="20"/>
              </w:rPr>
            </w:pPr>
            <w:r w:rsidRPr="0074286B">
              <w:rPr>
                <w:szCs w:val="20"/>
              </w:rPr>
              <w:t>October</w:t>
            </w:r>
            <w:r>
              <w:rPr>
                <w:szCs w:val="20"/>
              </w:rPr>
              <w:t xml:space="preserve"> 1 to September 30 (submit to: </w:t>
            </w:r>
            <w:r w:rsidRPr="0074286B">
              <w:rPr>
                <w:szCs w:val="20"/>
              </w:rPr>
              <w:t>mdh</w:t>
            </w:r>
            <w:r>
              <w:rPr>
                <w:szCs w:val="20"/>
              </w:rPr>
              <w:t>hs</w:t>
            </w:r>
            <w:r w:rsidRPr="0074286B">
              <w:rPr>
                <w:szCs w:val="20"/>
              </w:rPr>
              <w:t>.sudpds.com)</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Monthly (minimum 12 submissions per year)</w:t>
            </w:r>
          </w:p>
        </w:tc>
        <w:tc>
          <w:tcPr>
            <w:tcW w:w="3772" w:type="dxa"/>
            <w:shd w:val="clear" w:color="auto" w:fill="auto"/>
          </w:tcPr>
          <w:p w:rsidR="000F2A93" w:rsidRPr="0074286B" w:rsidRDefault="000F2A93" w:rsidP="00D64C14">
            <w:pPr>
              <w:widowControl/>
              <w:rPr>
                <w:szCs w:val="20"/>
              </w:rPr>
            </w:pPr>
            <w:r w:rsidRPr="0074286B">
              <w:rPr>
                <w:szCs w:val="20"/>
              </w:rPr>
              <w:t>SUD - Encounter Reporting via HIPPA 837 Standard Transactions</w:t>
            </w:r>
          </w:p>
        </w:tc>
        <w:tc>
          <w:tcPr>
            <w:tcW w:w="3173" w:type="dxa"/>
            <w:shd w:val="clear" w:color="auto" w:fill="auto"/>
          </w:tcPr>
          <w:p w:rsidR="000F2A93" w:rsidRPr="0074286B" w:rsidRDefault="000F2A93" w:rsidP="00D64C14">
            <w:pPr>
              <w:widowControl/>
              <w:rPr>
                <w:szCs w:val="20"/>
              </w:rPr>
            </w:pPr>
            <w:r w:rsidRPr="0074286B">
              <w:rPr>
                <w:szCs w:val="20"/>
              </w:rPr>
              <w:t>October 1 to September 30 (Via DEG to MDH</w:t>
            </w:r>
            <w:r>
              <w:rPr>
                <w:szCs w:val="20"/>
              </w:rPr>
              <w:t>HS</w:t>
            </w:r>
            <w:r w:rsidRPr="0074286B">
              <w:rPr>
                <w:szCs w:val="20"/>
              </w:rPr>
              <w:t>/MIS Operations – see note below)</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 xml:space="preserve">Monthly </w:t>
            </w:r>
          </w:p>
        </w:tc>
        <w:tc>
          <w:tcPr>
            <w:tcW w:w="3772" w:type="dxa"/>
            <w:shd w:val="clear" w:color="auto" w:fill="auto"/>
          </w:tcPr>
          <w:p w:rsidR="000F2A93" w:rsidRPr="0074286B" w:rsidRDefault="000F2A93" w:rsidP="00D64C14">
            <w:pPr>
              <w:widowControl/>
              <w:rPr>
                <w:szCs w:val="20"/>
              </w:rPr>
            </w:pPr>
            <w:r w:rsidRPr="0074286B">
              <w:rPr>
                <w:szCs w:val="20"/>
              </w:rPr>
              <w:t>Consumer level**</w:t>
            </w:r>
          </w:p>
          <w:p w:rsidR="000F2A93" w:rsidRPr="0074286B" w:rsidRDefault="000F2A93" w:rsidP="000F2A93">
            <w:pPr>
              <w:widowControl/>
              <w:numPr>
                <w:ilvl w:val="0"/>
                <w:numId w:val="1"/>
              </w:numPr>
              <w:autoSpaceDE/>
              <w:autoSpaceDN/>
              <w:adjustRightInd/>
              <w:contextualSpacing/>
              <w:rPr>
                <w:szCs w:val="20"/>
              </w:rPr>
            </w:pPr>
            <w:r w:rsidRPr="0074286B">
              <w:rPr>
                <w:szCs w:val="20"/>
              </w:rPr>
              <w:t>Quality Improvement (1)</w:t>
            </w:r>
          </w:p>
          <w:p w:rsidR="000F2A93" w:rsidRPr="0074286B" w:rsidRDefault="000F2A93" w:rsidP="000F2A93">
            <w:pPr>
              <w:widowControl/>
              <w:numPr>
                <w:ilvl w:val="0"/>
                <w:numId w:val="1"/>
              </w:numPr>
              <w:autoSpaceDE/>
              <w:autoSpaceDN/>
              <w:adjustRightInd/>
              <w:contextualSpacing/>
              <w:rPr>
                <w:szCs w:val="20"/>
              </w:rPr>
            </w:pPr>
            <w:r w:rsidRPr="0074286B">
              <w:rPr>
                <w:szCs w:val="20"/>
              </w:rPr>
              <w:t>Encounter (1)</w:t>
            </w:r>
          </w:p>
        </w:tc>
        <w:tc>
          <w:tcPr>
            <w:tcW w:w="3173" w:type="dxa"/>
            <w:shd w:val="clear" w:color="auto" w:fill="auto"/>
          </w:tcPr>
          <w:p w:rsidR="000F2A93" w:rsidRPr="0074286B" w:rsidRDefault="000F2A93" w:rsidP="00D64C14">
            <w:pPr>
              <w:widowControl/>
              <w:rPr>
                <w:szCs w:val="20"/>
              </w:rPr>
            </w:pPr>
            <w:r w:rsidRPr="0074286B">
              <w:rPr>
                <w:szCs w:val="20"/>
              </w:rPr>
              <w:t>October 1 to September 30</w:t>
            </w: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lastRenderedPageBreak/>
              <w:t>Monthly</w:t>
            </w:r>
          </w:p>
        </w:tc>
        <w:tc>
          <w:tcPr>
            <w:tcW w:w="3772" w:type="dxa"/>
            <w:shd w:val="clear" w:color="auto" w:fill="auto"/>
          </w:tcPr>
          <w:p w:rsidR="000F2A93" w:rsidRPr="0074286B" w:rsidRDefault="000F2A93" w:rsidP="00D64C14">
            <w:pPr>
              <w:widowControl/>
              <w:rPr>
                <w:szCs w:val="20"/>
              </w:rPr>
            </w:pPr>
            <w:r w:rsidRPr="0074286B">
              <w:rPr>
                <w:szCs w:val="20"/>
              </w:rPr>
              <w:t>Critical Incidents (3)</w:t>
            </w:r>
          </w:p>
        </w:tc>
        <w:tc>
          <w:tcPr>
            <w:tcW w:w="3173" w:type="dxa"/>
            <w:shd w:val="clear" w:color="auto" w:fill="auto"/>
          </w:tcPr>
          <w:p w:rsidR="000F2A93" w:rsidRPr="0074286B" w:rsidRDefault="000F2A93" w:rsidP="00D64C14">
            <w:pPr>
              <w:widowControl/>
              <w:rPr>
                <w:szCs w:val="20"/>
              </w:rPr>
            </w:pPr>
          </w:p>
        </w:tc>
      </w:tr>
      <w:tr w:rsidR="000F2A93" w:rsidRPr="00862CE0" w:rsidTr="00D64C14">
        <w:trPr>
          <w:jc w:val="center"/>
        </w:trPr>
        <w:tc>
          <w:tcPr>
            <w:tcW w:w="1983" w:type="dxa"/>
            <w:shd w:val="clear" w:color="auto" w:fill="auto"/>
          </w:tcPr>
          <w:p w:rsidR="000F2A93" w:rsidRPr="0074286B" w:rsidRDefault="000F2A93" w:rsidP="00D64C14">
            <w:pPr>
              <w:widowControl/>
              <w:rPr>
                <w:szCs w:val="20"/>
              </w:rPr>
            </w:pPr>
            <w:r w:rsidRPr="0074286B">
              <w:rPr>
                <w:szCs w:val="20"/>
              </w:rPr>
              <w:t>Annually (Same due date as Annual Plan)</w:t>
            </w:r>
          </w:p>
        </w:tc>
        <w:tc>
          <w:tcPr>
            <w:tcW w:w="3772" w:type="dxa"/>
            <w:shd w:val="clear" w:color="auto" w:fill="auto"/>
          </w:tcPr>
          <w:p w:rsidR="000F2A93" w:rsidRPr="0074286B" w:rsidRDefault="000F2A93" w:rsidP="00D64C14">
            <w:pPr>
              <w:widowControl/>
              <w:rPr>
                <w:szCs w:val="20"/>
              </w:rPr>
            </w:pPr>
            <w:r w:rsidRPr="0074286B">
              <w:rPr>
                <w:szCs w:val="20"/>
              </w:rPr>
              <w:t>SUD - Communicable Disease (CD) Provider Information Plan (Must be submitted only if PIHP funds CD services)</w:t>
            </w:r>
          </w:p>
        </w:tc>
        <w:tc>
          <w:tcPr>
            <w:tcW w:w="3173" w:type="dxa"/>
            <w:shd w:val="clear" w:color="auto" w:fill="auto"/>
          </w:tcPr>
          <w:p w:rsidR="000F2A93" w:rsidRPr="0074286B" w:rsidRDefault="000F2A93" w:rsidP="00D64C14">
            <w:pPr>
              <w:widowControl/>
              <w:rPr>
                <w:szCs w:val="20"/>
              </w:rPr>
            </w:pPr>
            <w:r w:rsidRPr="0074286B">
              <w:rPr>
                <w:szCs w:val="20"/>
              </w:rPr>
              <w:t xml:space="preserve">October 1 to September 30 </w:t>
            </w:r>
          </w:p>
        </w:tc>
      </w:tr>
    </w:tbl>
    <w:p w:rsidR="000F2A93" w:rsidRPr="00862CE0" w:rsidRDefault="000F2A93" w:rsidP="000F2A93">
      <w:pPr>
        <w:widowControl/>
        <w:autoSpaceDE/>
        <w:autoSpaceDN/>
        <w:adjustRightInd/>
        <w:rPr>
          <w:sz w:val="24"/>
        </w:rPr>
      </w:pPr>
    </w:p>
    <w:p w:rsidR="000F2A93" w:rsidRPr="00862CE0" w:rsidRDefault="000F2A93" w:rsidP="000F2A93">
      <w:pPr>
        <w:widowControl/>
        <w:autoSpaceDE/>
        <w:autoSpaceDN/>
        <w:adjustRightInd/>
        <w:rPr>
          <w:sz w:val="24"/>
        </w:rPr>
      </w:pPr>
      <w:r>
        <w:rPr>
          <w:sz w:val="24"/>
        </w:rPr>
        <w:t>**Consumer level data must be submitted</w:t>
      </w:r>
      <w:r>
        <w:rPr>
          <w:strike/>
          <w:sz w:val="24"/>
        </w:rPr>
        <w:t xml:space="preserve"> </w:t>
      </w:r>
      <w:r>
        <w:rPr>
          <w:sz w:val="24"/>
        </w:rPr>
        <w:t>within 30 days following adjudication of claims for services provided, or in cases where claims are not part of the PIHP’s business practices, within 30 days following the end of the month in which services were delivered.</w:t>
      </w:r>
    </w:p>
    <w:p w:rsidR="000F2A93" w:rsidRPr="00862CE0" w:rsidRDefault="000F2A93" w:rsidP="000F2A93">
      <w:pPr>
        <w:widowControl/>
        <w:autoSpaceDE/>
        <w:autoSpaceDN/>
        <w:adjustRightInd/>
        <w:rPr>
          <w:sz w:val="24"/>
        </w:rPr>
      </w:pPr>
    </w:p>
    <w:p w:rsidR="000F2A93" w:rsidRPr="00862CE0" w:rsidRDefault="000F2A93" w:rsidP="000F2A93">
      <w:pPr>
        <w:widowControl/>
        <w:autoSpaceDE/>
        <w:autoSpaceDN/>
        <w:adjustRightInd/>
        <w:rPr>
          <w:b/>
          <w:sz w:val="24"/>
        </w:rPr>
      </w:pPr>
      <w:r w:rsidRPr="00862CE0">
        <w:rPr>
          <w:b/>
          <w:sz w:val="24"/>
        </w:rPr>
        <w:t>NOTE: To submit via DEG to MDH</w:t>
      </w:r>
      <w:r>
        <w:rPr>
          <w:b/>
          <w:sz w:val="24"/>
        </w:rPr>
        <w:t>HS</w:t>
      </w:r>
      <w:r w:rsidRPr="00862CE0">
        <w:rPr>
          <w:b/>
          <w:sz w:val="24"/>
        </w:rPr>
        <w:t>/MIS Operations</w:t>
      </w:r>
    </w:p>
    <w:p w:rsidR="000F2A93" w:rsidRPr="00862CE0" w:rsidRDefault="000F2A93" w:rsidP="000F2A93">
      <w:pPr>
        <w:widowControl/>
        <w:autoSpaceDE/>
        <w:autoSpaceDN/>
        <w:adjustRightInd/>
        <w:rPr>
          <w:sz w:val="24"/>
        </w:rPr>
      </w:pPr>
      <w:r w:rsidRPr="00862CE0">
        <w:rPr>
          <w:sz w:val="24"/>
        </w:rPr>
        <w:t>Client Admission and Discharge client records must be sent electronically to:</w:t>
      </w:r>
    </w:p>
    <w:p w:rsidR="000F2A93" w:rsidRPr="00862CE0" w:rsidRDefault="000F2A93" w:rsidP="000F2A93">
      <w:pPr>
        <w:widowControl/>
        <w:autoSpaceDE/>
        <w:autoSpaceDN/>
        <w:adjustRightInd/>
        <w:rPr>
          <w:sz w:val="24"/>
        </w:rPr>
      </w:pPr>
      <w:r w:rsidRPr="00862CE0">
        <w:rPr>
          <w:sz w:val="24"/>
        </w:rPr>
        <w:t>Michigan Department of Health</w:t>
      </w:r>
      <w:r>
        <w:rPr>
          <w:sz w:val="24"/>
        </w:rPr>
        <w:t xml:space="preserve"> and Human Services</w:t>
      </w:r>
    </w:p>
    <w:p w:rsidR="000F2A93" w:rsidRPr="00862CE0" w:rsidRDefault="000F2A93" w:rsidP="000F2A93">
      <w:pPr>
        <w:widowControl/>
        <w:autoSpaceDE/>
        <w:autoSpaceDN/>
        <w:adjustRightInd/>
        <w:rPr>
          <w:sz w:val="24"/>
        </w:rPr>
      </w:pPr>
      <w:r w:rsidRPr="00862CE0">
        <w:rPr>
          <w:sz w:val="24"/>
        </w:rPr>
        <w:t>Michigan Department of Technology, Management &amp; Budget</w:t>
      </w:r>
    </w:p>
    <w:p w:rsidR="000F2A93" w:rsidRPr="00862CE0" w:rsidRDefault="000F2A93" w:rsidP="000F2A93">
      <w:pPr>
        <w:widowControl/>
        <w:autoSpaceDE/>
        <w:autoSpaceDN/>
        <w:adjustRightInd/>
        <w:rPr>
          <w:sz w:val="24"/>
        </w:rPr>
      </w:pPr>
      <w:r w:rsidRPr="00862CE0">
        <w:rPr>
          <w:sz w:val="24"/>
        </w:rPr>
        <w:t>Data Exchange Gateway (DEG)</w:t>
      </w:r>
    </w:p>
    <w:p w:rsidR="000F2A93" w:rsidRPr="00862CE0" w:rsidRDefault="000F2A93" w:rsidP="000F2A93">
      <w:pPr>
        <w:widowControl/>
        <w:autoSpaceDE/>
        <w:autoSpaceDN/>
        <w:adjustRightInd/>
        <w:rPr>
          <w:sz w:val="24"/>
        </w:rPr>
      </w:pPr>
      <w:r w:rsidRPr="00862CE0">
        <w:rPr>
          <w:sz w:val="24"/>
        </w:rPr>
        <w:t>For admissions:  put c:/4823 4823@dchbull</w:t>
      </w:r>
    </w:p>
    <w:p w:rsidR="000F2A93" w:rsidRPr="00862CE0" w:rsidRDefault="000F2A93" w:rsidP="000F2A93">
      <w:pPr>
        <w:widowControl/>
        <w:autoSpaceDE/>
        <w:autoSpaceDN/>
        <w:adjustRightInd/>
        <w:rPr>
          <w:sz w:val="24"/>
        </w:rPr>
      </w:pPr>
      <w:r w:rsidRPr="00862CE0">
        <w:rPr>
          <w:sz w:val="24"/>
        </w:rPr>
        <w:t>For discharges:  put c:/4824 4824@dchbull</w:t>
      </w:r>
    </w:p>
    <w:p w:rsidR="000F2A93" w:rsidRDefault="000F2A93" w:rsidP="000F2A93">
      <w:pPr>
        <w:tabs>
          <w:tab w:val="left" w:pos="180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0F2A93" w:rsidRDefault="000F2A93" w:rsidP="000F2A93">
      <w:pPr>
        <w:pStyle w:val="ListParagraph"/>
        <w:numPr>
          <w:ilvl w:val="0"/>
          <w:numId w:val="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color w:val="000000"/>
          <w:sz w:val="24"/>
        </w:rPr>
        <w:t>Send data to MDHHS MIS via DEG (see above)</w:t>
      </w:r>
    </w:p>
    <w:p w:rsidR="000F2A93" w:rsidRDefault="000F2A93" w:rsidP="000F2A93">
      <w:pPr>
        <w:pStyle w:val="ListParagraph"/>
        <w:numPr>
          <w:ilvl w:val="0"/>
          <w:numId w:val="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color w:val="000000"/>
          <w:sz w:val="24"/>
        </w:rPr>
        <w:t>Send data to MDHHS, BHDDA, Division of Quality Management and Planning</w:t>
      </w:r>
    </w:p>
    <w:p w:rsidR="000F2A93" w:rsidRPr="009010AE" w:rsidRDefault="000F2A93" w:rsidP="000F2A93">
      <w:pPr>
        <w:pStyle w:val="ListParagraph"/>
        <w:numPr>
          <w:ilvl w:val="0"/>
          <w:numId w:val="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color w:val="000000"/>
          <w:sz w:val="24"/>
        </w:rPr>
        <w:t xml:space="preserve">Web-based reporting.  See instructions on MDHHS web site at </w:t>
      </w:r>
      <w:hyperlink r:id="rId9" w:history="1">
        <w:r w:rsidRPr="00C575AE">
          <w:rPr>
            <w:rStyle w:val="Hyperlink"/>
            <w:sz w:val="24"/>
          </w:rPr>
          <w:t>www.michigan.gov/mdhhs/bhdda</w:t>
        </w:r>
      </w:hyperlink>
      <w:r>
        <w:rPr>
          <w:sz w:val="24"/>
        </w:rPr>
        <w:t xml:space="preserve"> </w:t>
      </w:r>
      <w:r>
        <w:rPr>
          <w:color w:val="000000"/>
          <w:sz w:val="24"/>
        </w:rPr>
        <w:t xml:space="preserve"> and click on Reporting Requirements</w:t>
      </w:r>
    </w:p>
    <w:p w:rsidR="003F56FA" w:rsidRDefault="003F56FA" w:rsidP="000F2A93">
      <w:bookmarkStart w:id="2" w:name="_GoBack"/>
      <w:bookmarkEnd w:id="2"/>
    </w:p>
    <w:sectPr w:rsidR="003F56F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93" w:rsidRDefault="000F2A93" w:rsidP="000F2A93">
      <w:r>
        <w:separator/>
      </w:r>
    </w:p>
  </w:endnote>
  <w:endnote w:type="continuationSeparator" w:id="0">
    <w:p w:rsidR="000F2A93" w:rsidRDefault="000F2A93" w:rsidP="000F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93" w:rsidRDefault="000F2A93" w:rsidP="000F2A93">
      <w:r>
        <w:separator/>
      </w:r>
    </w:p>
  </w:footnote>
  <w:footnote w:type="continuationSeparator" w:id="0">
    <w:p w:rsidR="000F2A93" w:rsidRDefault="000F2A93" w:rsidP="000F2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A93" w:rsidRPr="000F2A93" w:rsidRDefault="000F2A93" w:rsidP="000F2A93">
    <w:pPr>
      <w:ind w:left="-432" w:right="-432"/>
      <w:rPr>
        <w:sz w:val="24"/>
      </w:rPr>
    </w:pPr>
    <w:r w:rsidRPr="000F2A93">
      <w:rPr>
        <w:rFonts w:ascii="Shruti" w:hAnsi="Shruti"/>
        <w:sz w:val="18"/>
        <w:szCs w:val="18"/>
      </w:rPr>
      <w:t>Medicaid Managed Specialty Supports and Services Concurrent 1915(b)/(c) Waiver Program FY 16</w:t>
    </w:r>
    <w:r w:rsidRPr="000F2A93">
      <w:rPr>
        <w:b/>
        <w:bCs/>
        <w:sz w:val="18"/>
        <w:szCs w:val="18"/>
      </w:rPr>
      <w:t xml:space="preserve">:  </w:t>
    </w:r>
    <w:r w:rsidRPr="000F2A93">
      <w:rPr>
        <w:bCs/>
        <w:sz w:val="18"/>
        <w:szCs w:val="18"/>
      </w:rPr>
      <w:t>Attachment P 7.7.1.1-</w:t>
    </w:r>
    <w:r w:rsidRPr="000F2A93">
      <w:rPr>
        <w:b/>
        <w:bCs/>
        <w:sz w:val="18"/>
        <w:szCs w:val="18"/>
      </w:rPr>
      <w:t xml:space="preserve"> </w:t>
    </w:r>
  </w:p>
  <w:p w:rsidR="000F2A93" w:rsidRPr="000F2A93" w:rsidRDefault="000F2A93" w:rsidP="00B92D81">
    <w:pPr>
      <w:spacing w:line="240" w:lineRule="exact"/>
      <w:jc w:val="center"/>
      <w:rPr>
        <w:b/>
        <w:i/>
        <w:sz w:val="24"/>
      </w:rPr>
    </w:pPr>
    <w:r w:rsidRPr="000F2A93">
      <w:rPr>
        <w:b/>
        <w:i/>
        <w:sz w:val="24"/>
      </w:rPr>
      <w:t>PIHP REPORTING REQUIREMENTS</w:t>
    </w:r>
  </w:p>
  <w:p w:rsidR="000F2A93" w:rsidRDefault="000F2A93">
    <w:pPr>
      <w:pStyle w:val="Header"/>
    </w:pPr>
  </w:p>
  <w:p w:rsidR="000F2A93" w:rsidRDefault="000F2A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C3750"/>
    <w:multiLevelType w:val="hybridMultilevel"/>
    <w:tmpl w:val="BCB4C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D73B9F"/>
    <w:multiLevelType w:val="hybridMultilevel"/>
    <w:tmpl w:val="F1E0C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93"/>
    <w:rsid w:val="000F2A93"/>
    <w:rsid w:val="003F56FA"/>
    <w:rsid w:val="00B9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93"/>
    <w:pPr>
      <w:widowControl w:val="0"/>
      <w:autoSpaceDE w:val="0"/>
      <w:autoSpaceDN w:val="0"/>
      <w:adjustRightInd w:val="0"/>
      <w:spacing w:after="0"/>
      <w:jc w:val="left"/>
    </w:pPr>
    <w:rPr>
      <w:rFonts w:ascii="Times New Roman" w:eastAsia="Times New Roman" w:hAnsi="Times New Roman" w:cs="Times New Roman"/>
      <w:sz w:val="20"/>
      <w:szCs w:val="24"/>
    </w:rPr>
  </w:style>
  <w:style w:type="paragraph" w:styleId="Heading1">
    <w:name w:val="heading 1"/>
    <w:aliases w:val="H1,h1,heading1"/>
    <w:basedOn w:val="Normal"/>
    <w:next w:val="Normal"/>
    <w:link w:val="Heading1Char"/>
    <w:qFormat/>
    <w:rsid w:val="000F2A93"/>
    <w:pPr>
      <w:keepNext/>
      <w:tabs>
        <w:tab w:val="left" w:pos="0"/>
      </w:tabs>
      <w:jc w:val="center"/>
      <w:outlineLvl w:val="0"/>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A93"/>
    <w:pPr>
      <w:tabs>
        <w:tab w:val="center" w:pos="4680"/>
        <w:tab w:val="right" w:pos="9360"/>
      </w:tabs>
    </w:pPr>
  </w:style>
  <w:style w:type="character" w:customStyle="1" w:styleId="HeaderChar">
    <w:name w:val="Header Char"/>
    <w:basedOn w:val="DefaultParagraphFont"/>
    <w:link w:val="Header"/>
    <w:uiPriority w:val="99"/>
    <w:rsid w:val="000F2A93"/>
  </w:style>
  <w:style w:type="paragraph" w:styleId="Footer">
    <w:name w:val="footer"/>
    <w:basedOn w:val="Normal"/>
    <w:link w:val="FooterChar"/>
    <w:uiPriority w:val="99"/>
    <w:unhideWhenUsed/>
    <w:rsid w:val="000F2A93"/>
    <w:pPr>
      <w:tabs>
        <w:tab w:val="center" w:pos="4680"/>
        <w:tab w:val="right" w:pos="9360"/>
      </w:tabs>
    </w:pPr>
  </w:style>
  <w:style w:type="character" w:customStyle="1" w:styleId="FooterChar">
    <w:name w:val="Footer Char"/>
    <w:basedOn w:val="DefaultParagraphFont"/>
    <w:link w:val="Footer"/>
    <w:uiPriority w:val="99"/>
    <w:rsid w:val="000F2A93"/>
  </w:style>
  <w:style w:type="paragraph" w:styleId="BalloonText">
    <w:name w:val="Balloon Text"/>
    <w:basedOn w:val="Normal"/>
    <w:link w:val="BalloonTextChar"/>
    <w:uiPriority w:val="99"/>
    <w:semiHidden/>
    <w:unhideWhenUsed/>
    <w:rsid w:val="000F2A93"/>
    <w:rPr>
      <w:rFonts w:ascii="Tahoma" w:hAnsi="Tahoma" w:cs="Tahoma"/>
      <w:sz w:val="16"/>
      <w:szCs w:val="16"/>
    </w:rPr>
  </w:style>
  <w:style w:type="character" w:customStyle="1" w:styleId="BalloonTextChar">
    <w:name w:val="Balloon Text Char"/>
    <w:basedOn w:val="DefaultParagraphFont"/>
    <w:link w:val="BalloonText"/>
    <w:uiPriority w:val="99"/>
    <w:semiHidden/>
    <w:rsid w:val="000F2A93"/>
    <w:rPr>
      <w:rFonts w:ascii="Tahoma" w:hAnsi="Tahoma" w:cs="Tahoma"/>
      <w:sz w:val="16"/>
      <w:szCs w:val="16"/>
    </w:rPr>
  </w:style>
  <w:style w:type="character" w:customStyle="1" w:styleId="Heading1Char">
    <w:name w:val="Heading 1 Char"/>
    <w:basedOn w:val="DefaultParagraphFont"/>
    <w:link w:val="Heading1"/>
    <w:rsid w:val="000F2A93"/>
    <w:rPr>
      <w:rFonts w:ascii="Times New Roman" w:eastAsia="Times New Roman" w:hAnsi="Times New Roman" w:cs="Times New Roman"/>
      <w:b/>
      <w:bCs/>
      <w:sz w:val="24"/>
      <w:szCs w:val="20"/>
    </w:rPr>
  </w:style>
  <w:style w:type="character" w:styleId="Hyperlink">
    <w:name w:val="Hyperlink"/>
    <w:uiPriority w:val="99"/>
    <w:rsid w:val="000F2A93"/>
    <w:rPr>
      <w:color w:val="0000FF"/>
      <w:u w:val="single"/>
    </w:rPr>
  </w:style>
  <w:style w:type="paragraph" w:styleId="ListParagraph">
    <w:name w:val="List Paragraph"/>
    <w:basedOn w:val="Normal"/>
    <w:uiPriority w:val="34"/>
    <w:qFormat/>
    <w:rsid w:val="000F2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93"/>
    <w:pPr>
      <w:widowControl w:val="0"/>
      <w:autoSpaceDE w:val="0"/>
      <w:autoSpaceDN w:val="0"/>
      <w:adjustRightInd w:val="0"/>
      <w:spacing w:after="0"/>
      <w:jc w:val="left"/>
    </w:pPr>
    <w:rPr>
      <w:rFonts w:ascii="Times New Roman" w:eastAsia="Times New Roman" w:hAnsi="Times New Roman" w:cs="Times New Roman"/>
      <w:sz w:val="20"/>
      <w:szCs w:val="24"/>
    </w:rPr>
  </w:style>
  <w:style w:type="paragraph" w:styleId="Heading1">
    <w:name w:val="heading 1"/>
    <w:aliases w:val="H1,h1,heading1"/>
    <w:basedOn w:val="Normal"/>
    <w:next w:val="Normal"/>
    <w:link w:val="Heading1Char"/>
    <w:qFormat/>
    <w:rsid w:val="000F2A93"/>
    <w:pPr>
      <w:keepNext/>
      <w:tabs>
        <w:tab w:val="left" w:pos="0"/>
      </w:tabs>
      <w:jc w:val="center"/>
      <w:outlineLvl w:val="0"/>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A93"/>
    <w:pPr>
      <w:tabs>
        <w:tab w:val="center" w:pos="4680"/>
        <w:tab w:val="right" w:pos="9360"/>
      </w:tabs>
    </w:pPr>
  </w:style>
  <w:style w:type="character" w:customStyle="1" w:styleId="HeaderChar">
    <w:name w:val="Header Char"/>
    <w:basedOn w:val="DefaultParagraphFont"/>
    <w:link w:val="Header"/>
    <w:uiPriority w:val="99"/>
    <w:rsid w:val="000F2A93"/>
  </w:style>
  <w:style w:type="paragraph" w:styleId="Footer">
    <w:name w:val="footer"/>
    <w:basedOn w:val="Normal"/>
    <w:link w:val="FooterChar"/>
    <w:uiPriority w:val="99"/>
    <w:unhideWhenUsed/>
    <w:rsid w:val="000F2A93"/>
    <w:pPr>
      <w:tabs>
        <w:tab w:val="center" w:pos="4680"/>
        <w:tab w:val="right" w:pos="9360"/>
      </w:tabs>
    </w:pPr>
  </w:style>
  <w:style w:type="character" w:customStyle="1" w:styleId="FooterChar">
    <w:name w:val="Footer Char"/>
    <w:basedOn w:val="DefaultParagraphFont"/>
    <w:link w:val="Footer"/>
    <w:uiPriority w:val="99"/>
    <w:rsid w:val="000F2A93"/>
  </w:style>
  <w:style w:type="paragraph" w:styleId="BalloonText">
    <w:name w:val="Balloon Text"/>
    <w:basedOn w:val="Normal"/>
    <w:link w:val="BalloonTextChar"/>
    <w:uiPriority w:val="99"/>
    <w:semiHidden/>
    <w:unhideWhenUsed/>
    <w:rsid w:val="000F2A93"/>
    <w:rPr>
      <w:rFonts w:ascii="Tahoma" w:hAnsi="Tahoma" w:cs="Tahoma"/>
      <w:sz w:val="16"/>
      <w:szCs w:val="16"/>
    </w:rPr>
  </w:style>
  <w:style w:type="character" w:customStyle="1" w:styleId="BalloonTextChar">
    <w:name w:val="Balloon Text Char"/>
    <w:basedOn w:val="DefaultParagraphFont"/>
    <w:link w:val="BalloonText"/>
    <w:uiPriority w:val="99"/>
    <w:semiHidden/>
    <w:rsid w:val="000F2A93"/>
    <w:rPr>
      <w:rFonts w:ascii="Tahoma" w:hAnsi="Tahoma" w:cs="Tahoma"/>
      <w:sz w:val="16"/>
      <w:szCs w:val="16"/>
    </w:rPr>
  </w:style>
  <w:style w:type="character" w:customStyle="1" w:styleId="Heading1Char">
    <w:name w:val="Heading 1 Char"/>
    <w:basedOn w:val="DefaultParagraphFont"/>
    <w:link w:val="Heading1"/>
    <w:rsid w:val="000F2A93"/>
    <w:rPr>
      <w:rFonts w:ascii="Times New Roman" w:eastAsia="Times New Roman" w:hAnsi="Times New Roman" w:cs="Times New Roman"/>
      <w:b/>
      <w:bCs/>
      <w:sz w:val="24"/>
      <w:szCs w:val="20"/>
    </w:rPr>
  </w:style>
  <w:style w:type="character" w:styleId="Hyperlink">
    <w:name w:val="Hyperlink"/>
    <w:uiPriority w:val="99"/>
    <w:rsid w:val="000F2A93"/>
    <w:rPr>
      <w:color w:val="0000FF"/>
      <w:u w:val="single"/>
    </w:rPr>
  </w:style>
  <w:style w:type="paragraph" w:styleId="ListParagraph">
    <w:name w:val="List Paragraph"/>
    <w:basedOn w:val="Normal"/>
    <w:uiPriority w:val="34"/>
    <w:qFormat/>
    <w:rsid w:val="000F2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mdhhs/0,1607,7-132-2941_38765---,00.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higan.gov/mdhhs/bhd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Waldo, David (DCH)</dc:creator>
  <cp:lastModifiedBy>Waldo, David (DCH)</cp:lastModifiedBy>
  <cp:revision>2</cp:revision>
  <dcterms:created xsi:type="dcterms:W3CDTF">2015-08-17T18:50:00Z</dcterms:created>
  <dcterms:modified xsi:type="dcterms:W3CDTF">2015-08-17T18:50:00Z</dcterms:modified>
</cp:coreProperties>
</file>