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7036C" w14:textId="10A342F9" w:rsidR="000638F6" w:rsidRDefault="007007D3" w:rsidP="002971A1">
      <w:pPr>
        <w:spacing w:after="0"/>
      </w:pPr>
      <w:bookmarkStart w:id="0" w:name="_GoBack"/>
      <w:bookmarkEnd w:id="0"/>
      <w:r>
        <w:t>June 28, 2019</w:t>
      </w:r>
    </w:p>
    <w:p w14:paraId="624CFA42" w14:textId="77777777" w:rsidR="002971A1" w:rsidRDefault="002971A1" w:rsidP="002971A1">
      <w:pPr>
        <w:spacing w:after="0"/>
      </w:pPr>
    </w:p>
    <w:p w14:paraId="3883460B" w14:textId="13FC2BBA" w:rsidR="007007D3" w:rsidRDefault="007007D3" w:rsidP="007B086A">
      <w:pPr>
        <w:spacing w:after="0" w:line="240" w:lineRule="auto"/>
      </w:pPr>
      <w:r>
        <w:t>To:</w:t>
      </w:r>
      <w:r>
        <w:tab/>
      </w:r>
      <w:r w:rsidR="00D85EEA">
        <w:t>Merideth Hadala, Michigan Public Service Commission</w:t>
      </w:r>
    </w:p>
    <w:p w14:paraId="38899198" w14:textId="77777777" w:rsidR="002971A1" w:rsidRDefault="002971A1" w:rsidP="007B086A">
      <w:pPr>
        <w:spacing w:after="0" w:line="240" w:lineRule="auto"/>
      </w:pPr>
    </w:p>
    <w:p w14:paraId="301A5837" w14:textId="50A6FE12" w:rsidR="007007D3" w:rsidRDefault="007007D3" w:rsidP="007B086A">
      <w:pPr>
        <w:spacing w:after="0" w:line="240" w:lineRule="auto"/>
      </w:pPr>
      <w:r>
        <w:t>From:</w:t>
      </w:r>
      <w:r>
        <w:tab/>
      </w:r>
      <w:r w:rsidR="00E8264E">
        <w:t xml:space="preserve">Tanya Paslawski, </w:t>
      </w:r>
      <w:r>
        <w:t>Michigan Electric and Gas Association</w:t>
      </w:r>
    </w:p>
    <w:p w14:paraId="65359C3D" w14:textId="77777777" w:rsidR="001640F2" w:rsidRDefault="001640F2" w:rsidP="007B086A">
      <w:pPr>
        <w:spacing w:after="0"/>
      </w:pPr>
    </w:p>
    <w:p w14:paraId="34715399" w14:textId="1D5926FF" w:rsidR="009708CF" w:rsidRDefault="007007D3">
      <w:r>
        <w:tab/>
        <w:t xml:space="preserve">The members of the Michigan Electric and Gas Association </w:t>
      </w:r>
      <w:r w:rsidR="00E8264E">
        <w:t xml:space="preserve">(“MEGA”) </w:t>
      </w:r>
      <w:r>
        <w:t xml:space="preserve">appreciate the opportunity to comment on the two proposals </w:t>
      </w:r>
      <w:r w:rsidR="009708CF">
        <w:t xml:space="preserve">proffered by </w:t>
      </w:r>
      <w:r w:rsidR="00CC643B">
        <w:t>the Michigan Public Service Commission (“</w:t>
      </w:r>
      <w:r w:rsidR="009708CF">
        <w:t>MPSC</w:t>
      </w:r>
      <w:r w:rsidR="00CC643B">
        <w:t>”)</w:t>
      </w:r>
      <w:r w:rsidR="009708CF">
        <w:t xml:space="preserve"> staff </w:t>
      </w:r>
      <w:r>
        <w:t>to establish a PURPA Legally Enforceable Obligation (</w:t>
      </w:r>
      <w:r w:rsidR="005B074D">
        <w:t>“</w:t>
      </w:r>
      <w:r>
        <w:t>LEO</w:t>
      </w:r>
      <w:r w:rsidR="005B074D">
        <w:t>”</w:t>
      </w:r>
      <w:r>
        <w:t xml:space="preserve">) in Michigan.  MEGA is encouraged that the content of both options </w:t>
      </w:r>
      <w:r w:rsidR="00E8264E">
        <w:t>indicates</w:t>
      </w:r>
      <w:r>
        <w:t xml:space="preserve"> a</w:t>
      </w:r>
      <w:r w:rsidR="009708CF">
        <w:t xml:space="preserve">n understanding on the important rationale behind a LEO, that of ensuring that a project is viable before committing a utility to purchase its offtake under PURPA. </w:t>
      </w:r>
      <w:r w:rsidR="00DD64A4">
        <w:t xml:space="preserve"> </w:t>
      </w:r>
      <w:r w:rsidR="00E8264E">
        <w:t>As such</w:t>
      </w:r>
      <w:r w:rsidR="00DD64A4">
        <w:t xml:space="preserve">, between the two options presented, MEGA prefers Option 1 as including the most appropriate measures to determine project viability.  </w:t>
      </w:r>
    </w:p>
    <w:p w14:paraId="77D91039" w14:textId="6B69F297" w:rsidR="009708CF" w:rsidRDefault="009708CF">
      <w:r>
        <w:tab/>
      </w:r>
      <w:r w:rsidR="00E8264E">
        <w:t>That said, t</w:t>
      </w:r>
      <w:r>
        <w:t xml:space="preserve">he most direct and unambiguous provision that would effectively separate speculative </w:t>
      </w:r>
      <w:r w:rsidR="00521AC9">
        <w:t xml:space="preserve">projects is the requirement to demonstrate that a project is within 90 days of commercial operation </w:t>
      </w:r>
      <w:r w:rsidR="0010674C">
        <w:t xml:space="preserve">(“90-day Rule”) </w:t>
      </w:r>
      <w:r w:rsidR="00521AC9">
        <w:t>(Section (1)(</w:t>
      </w:r>
      <w:proofErr w:type="spellStart"/>
      <w:r w:rsidR="00521AC9">
        <w:t>i</w:t>
      </w:r>
      <w:proofErr w:type="spellEnd"/>
      <w:r w:rsidR="00521AC9">
        <w:t>)</w:t>
      </w:r>
      <w:r w:rsidR="00853C39">
        <w:t xml:space="preserve"> of Options 1 and 2).  </w:t>
      </w:r>
      <w:r w:rsidR="000D6AAE">
        <w:t>Without enumerating a set of specific details</w:t>
      </w:r>
      <w:r w:rsidR="0097063C">
        <w:t xml:space="preserve">, which may apply differently to different projects, the 90-day </w:t>
      </w:r>
      <w:r w:rsidR="001A7500">
        <w:t>R</w:t>
      </w:r>
      <w:r w:rsidR="0097063C">
        <w:t xml:space="preserve">ule is a simple way to identify </w:t>
      </w:r>
      <w:r w:rsidR="004C643E">
        <w:t xml:space="preserve">a </w:t>
      </w:r>
      <w:r w:rsidR="0097063C">
        <w:t xml:space="preserve">development that is most likely to come to fruition.  It has been effective in Texas where it was initially implemented and upheld </w:t>
      </w:r>
      <w:r w:rsidR="001A7500">
        <w:t>in a court challenge</w:t>
      </w:r>
      <w:r w:rsidR="0097063C">
        <w:t>.</w:t>
      </w:r>
      <w:r w:rsidR="00814B27">
        <w:rPr>
          <w:rStyle w:val="FootnoteReference"/>
        </w:rPr>
        <w:footnoteReference w:id="1"/>
      </w:r>
    </w:p>
    <w:p w14:paraId="0C48BD90" w14:textId="32E49D09" w:rsidR="001A7500" w:rsidRDefault="001A7500">
      <w:r>
        <w:tab/>
        <w:t xml:space="preserve">However, in the event the staff ultimately adopts an approach other than the 90-day Rule, there are other </w:t>
      </w:r>
      <w:r w:rsidR="009C5A97">
        <w:t xml:space="preserve">components that, </w:t>
      </w:r>
      <w:r w:rsidR="004C643E">
        <w:t xml:space="preserve">when </w:t>
      </w:r>
      <w:r w:rsidR="009C5A97">
        <w:t xml:space="preserve">taken together, can support the potential viability of a project.  Notably, each project may </w:t>
      </w:r>
      <w:r w:rsidR="004C643E">
        <w:t xml:space="preserve">present </w:t>
      </w:r>
      <w:r w:rsidR="009C5A97">
        <w:t xml:space="preserve">unique situations that </w:t>
      </w:r>
      <w:r w:rsidR="00DD64A4">
        <w:t xml:space="preserve">can impact the </w:t>
      </w:r>
      <w:r w:rsidR="0019036C">
        <w:t>applicability</w:t>
      </w:r>
      <w:r w:rsidR="00DD64A4">
        <w:t xml:space="preserve"> of any </w:t>
      </w:r>
      <w:proofErr w:type="gramStart"/>
      <w:r w:rsidR="00DD64A4">
        <w:t>particular</w:t>
      </w:r>
      <w:r w:rsidR="00781973">
        <w:t xml:space="preserve"> </w:t>
      </w:r>
      <w:r w:rsidR="00DD64A4">
        <w:t>requirement</w:t>
      </w:r>
      <w:proofErr w:type="gramEnd"/>
      <w:r w:rsidR="00DD64A4">
        <w:t>, and as such, flexibility can be valuable.</w:t>
      </w:r>
      <w:r w:rsidR="007C0666">
        <w:t xml:space="preserve">  But the</w:t>
      </w:r>
      <w:r w:rsidR="000A6529">
        <w:t xml:space="preserve"> key components of</w:t>
      </w:r>
      <w:r w:rsidR="007C0666">
        <w:t xml:space="preserve"> </w:t>
      </w:r>
      <w:r w:rsidR="000A6529">
        <w:t>site control</w:t>
      </w:r>
      <w:r w:rsidR="00CD2E4D">
        <w:t xml:space="preserve"> and permitting</w:t>
      </w:r>
      <w:r w:rsidR="00E96DF3">
        <w:t xml:space="preserve">, </w:t>
      </w:r>
      <w:r w:rsidR="000A6529">
        <w:t xml:space="preserve">financing, </w:t>
      </w:r>
      <w:r w:rsidR="00E96DF3">
        <w:t xml:space="preserve">interconnection </w:t>
      </w:r>
      <w:r w:rsidR="00CD2E4D">
        <w:t>rights</w:t>
      </w:r>
      <w:r w:rsidR="00E96DF3">
        <w:t xml:space="preserve"> and </w:t>
      </w:r>
      <w:r w:rsidR="00273E88">
        <w:t>submission of a</w:t>
      </w:r>
      <w:r w:rsidR="00826F7E">
        <w:t xml:space="preserve"> </w:t>
      </w:r>
      <w:r w:rsidR="00635FFE">
        <w:t>standard</w:t>
      </w:r>
      <w:r w:rsidR="00E96DF3">
        <w:t xml:space="preserve"> </w:t>
      </w:r>
      <w:r w:rsidR="004E618F">
        <w:t xml:space="preserve">offer </w:t>
      </w:r>
      <w:r w:rsidR="00E96DF3">
        <w:t xml:space="preserve">power purchase </w:t>
      </w:r>
      <w:r w:rsidR="009E718F">
        <w:t>agreement</w:t>
      </w:r>
      <w:r w:rsidR="00CD2E4D">
        <w:t xml:space="preserve"> (</w:t>
      </w:r>
      <w:r w:rsidR="00781973">
        <w:t>“</w:t>
      </w:r>
      <w:r w:rsidR="00CD2E4D">
        <w:t>PPA</w:t>
      </w:r>
      <w:r w:rsidR="00781973">
        <w:t>”</w:t>
      </w:r>
      <w:r w:rsidR="00CD2E4D">
        <w:t>)</w:t>
      </w:r>
      <w:r w:rsidR="005A7569">
        <w:t xml:space="preserve"> or proposed PPA,</w:t>
      </w:r>
      <w:r w:rsidR="00FB73E4">
        <w:t xml:space="preserve"> signed</w:t>
      </w:r>
      <w:r w:rsidR="005A7569">
        <w:t xml:space="preserve"> </w:t>
      </w:r>
      <w:r w:rsidR="008F40A1">
        <w:t>by the developer,</w:t>
      </w:r>
      <w:r w:rsidR="009E718F">
        <w:t xml:space="preserve"> at</w:t>
      </w:r>
      <w:r w:rsidR="007C0666">
        <w:t xml:space="preserve"> a minimum, should be included to provide </w:t>
      </w:r>
      <w:r w:rsidR="004C643E">
        <w:t xml:space="preserve">reasonable </w:t>
      </w:r>
      <w:r w:rsidR="007C0666">
        <w:t>assurance to purchasing utilit</w:t>
      </w:r>
      <w:r w:rsidR="004C643E">
        <w:t>y</w:t>
      </w:r>
      <w:r w:rsidR="007C0666">
        <w:t xml:space="preserve"> that they can count on the </w:t>
      </w:r>
      <w:r w:rsidR="00CD2E4D">
        <w:t xml:space="preserve">viability of the </w:t>
      </w:r>
      <w:r w:rsidR="007C0666">
        <w:t>project.</w:t>
      </w:r>
    </w:p>
    <w:p w14:paraId="608D11B6" w14:textId="1997ACF5" w:rsidR="007C0666" w:rsidRDefault="007C0666">
      <w:r>
        <w:tab/>
      </w:r>
      <w:r w:rsidRPr="00BD5FEB">
        <w:rPr>
          <w:u w:val="single"/>
        </w:rPr>
        <w:t xml:space="preserve">Site </w:t>
      </w:r>
      <w:r w:rsidR="00B23005" w:rsidRPr="00BD5FEB">
        <w:rPr>
          <w:u w:val="single"/>
        </w:rPr>
        <w:t>control</w:t>
      </w:r>
      <w:r>
        <w:t xml:space="preserve">:  </w:t>
      </w:r>
      <w:r w:rsidR="00002749">
        <w:t>Securing the property upon which a project will operate is an essential early step to moving beyond speculation in project development.  Section (1)(d) of Option 1 addresses site control well, but for the acceptance of applications in subsection (ii).  Proof of control</w:t>
      </w:r>
      <w:r w:rsidR="00AA19A7">
        <w:t>,</w:t>
      </w:r>
      <w:r w:rsidR="00002749">
        <w:t xml:space="preserve"> </w:t>
      </w:r>
      <w:r w:rsidR="00AA19A7">
        <w:t>with</w:t>
      </w:r>
      <w:r w:rsidR="00002749">
        <w:t xml:space="preserve"> land use and environmental permits</w:t>
      </w:r>
      <w:r w:rsidR="00E96DF3">
        <w:t xml:space="preserve"> (including any local zoning</w:t>
      </w:r>
      <w:r w:rsidR="00CD2E4D">
        <w:t>, special use</w:t>
      </w:r>
      <w:r w:rsidR="00E96DF3">
        <w:t xml:space="preserve"> or other local requirements)</w:t>
      </w:r>
      <w:r w:rsidR="00AA19A7">
        <w:t>,</w:t>
      </w:r>
      <w:r w:rsidR="00002749">
        <w:t xml:space="preserve"> provide</w:t>
      </w:r>
      <w:r w:rsidR="004C643E">
        <w:t>s</w:t>
      </w:r>
      <w:r w:rsidR="00002749">
        <w:t xml:space="preserve"> </w:t>
      </w:r>
      <w:r w:rsidR="004C643E">
        <w:t xml:space="preserve">a level of </w:t>
      </w:r>
      <w:r w:rsidR="00002749">
        <w:t>assurance that a</w:t>
      </w:r>
      <w:r w:rsidR="00AA19A7">
        <w:t xml:space="preserve"> mere </w:t>
      </w:r>
      <w:r w:rsidR="00002749">
        <w:t xml:space="preserve">application </w:t>
      </w:r>
      <w:r w:rsidR="00AA19A7">
        <w:t xml:space="preserve">for any of these </w:t>
      </w:r>
      <w:r w:rsidR="00002749">
        <w:t>certainly does not.  Site control will be valuable in meeting interconnection process requirements as well.</w:t>
      </w:r>
    </w:p>
    <w:p w14:paraId="7B1FFD5B" w14:textId="730D7D6F" w:rsidR="00002749" w:rsidRDefault="00002749">
      <w:r>
        <w:tab/>
      </w:r>
      <w:r w:rsidRPr="00BD5FEB">
        <w:rPr>
          <w:u w:val="single"/>
        </w:rPr>
        <w:t>Financ</w:t>
      </w:r>
      <w:r w:rsidR="000E1C4F" w:rsidRPr="00BD5FEB">
        <w:rPr>
          <w:u w:val="single"/>
        </w:rPr>
        <w:t>ing</w:t>
      </w:r>
      <w:r w:rsidR="000E1C4F">
        <w:t xml:space="preserve">:  A developer should be able to show that they have access to credit </w:t>
      </w:r>
      <w:r w:rsidR="00D85EEA">
        <w:t xml:space="preserve">or other forms of financing </w:t>
      </w:r>
      <w:proofErr w:type="gramStart"/>
      <w:r w:rsidR="00D85EEA">
        <w:t>as a means to</w:t>
      </w:r>
      <w:proofErr w:type="gramEnd"/>
      <w:r w:rsidR="00D85EEA">
        <w:t xml:space="preserve"> provide greater certainty of the</w:t>
      </w:r>
      <w:r w:rsidR="00CD2E4D">
        <w:t>ir</w:t>
      </w:r>
      <w:r w:rsidR="00D85EEA">
        <w:t xml:space="preserve"> ability to move forward.  A letter from a financial institution that indicates an authorization of funds for the project costs </w:t>
      </w:r>
      <w:r w:rsidR="00CD2E4D">
        <w:t xml:space="preserve">being forecasted </w:t>
      </w:r>
      <w:r w:rsidR="00150B78">
        <w:t xml:space="preserve">and the duration of that authorization </w:t>
      </w:r>
      <w:r w:rsidR="0015380E">
        <w:t>may</w:t>
      </w:r>
      <w:r w:rsidR="00D85EEA">
        <w:t xml:space="preserve"> suffice.  </w:t>
      </w:r>
    </w:p>
    <w:p w14:paraId="464278C5" w14:textId="6AD2E25B" w:rsidR="00A70B65" w:rsidRDefault="00E96DF3">
      <w:r>
        <w:lastRenderedPageBreak/>
        <w:tab/>
      </w:r>
      <w:r w:rsidRPr="00BD5FEB">
        <w:rPr>
          <w:u w:val="single"/>
        </w:rPr>
        <w:t xml:space="preserve">Interconnection </w:t>
      </w:r>
      <w:r w:rsidR="00BD5FEB" w:rsidRPr="00BD5FEB">
        <w:rPr>
          <w:u w:val="single"/>
        </w:rPr>
        <w:t>r</w:t>
      </w:r>
      <w:r w:rsidRPr="00BD5FEB">
        <w:rPr>
          <w:u w:val="single"/>
        </w:rPr>
        <w:t>equirements</w:t>
      </w:r>
      <w:r>
        <w:t>:  Option 1, Section (1)(f) only requires that a</w:t>
      </w:r>
      <w:r w:rsidR="00984B78">
        <w:t xml:space="preserve"> completed </w:t>
      </w:r>
      <w:r>
        <w:t xml:space="preserve">interconnection request be </w:t>
      </w:r>
      <w:r w:rsidR="00984B78">
        <w:t>submitted</w:t>
      </w:r>
      <w:r w:rsidR="00B92C6F">
        <w:t xml:space="preserve"> for projects under 20 MW</w:t>
      </w:r>
      <w:r>
        <w:t>.  But significant uncertainty remains at that sta</w:t>
      </w:r>
      <w:r w:rsidR="00984B78">
        <w:t>g</w:t>
      </w:r>
      <w:r>
        <w:t xml:space="preserve">e of the interconnection process.  </w:t>
      </w:r>
      <w:r w:rsidR="00B92C6F">
        <w:t>E</w:t>
      </w:r>
      <w:r>
        <w:t>xecution of a Facilities Agreement, as proposed in Option 2(1)(d)</w:t>
      </w:r>
      <w:r w:rsidR="00FF3B43">
        <w:t xml:space="preserve">, </w:t>
      </w:r>
      <w:r w:rsidR="001F7F93">
        <w:t xml:space="preserve">would be ideal for utilities as it </w:t>
      </w:r>
      <w:r w:rsidR="00B92C6F">
        <w:t xml:space="preserve">occurs much farther along in the interconnection process </w:t>
      </w:r>
      <w:r w:rsidR="001F7F93">
        <w:t>and</w:t>
      </w:r>
      <w:r w:rsidR="00B92C6F">
        <w:t xml:space="preserve"> there</w:t>
      </w:r>
      <w:r w:rsidR="001F7F93">
        <w:t>fore provide</w:t>
      </w:r>
      <w:r w:rsidR="00CD2E4D">
        <w:t>s</w:t>
      </w:r>
      <w:r w:rsidR="001F7F93">
        <w:t xml:space="preserve"> </w:t>
      </w:r>
      <w:r w:rsidR="00CD2E4D">
        <w:t xml:space="preserve">considerable </w:t>
      </w:r>
      <w:r w:rsidR="00B92C6F">
        <w:t xml:space="preserve">assurance that </w:t>
      </w:r>
      <w:r w:rsidR="00CD2E4D">
        <w:t xml:space="preserve">the </w:t>
      </w:r>
      <w:r w:rsidR="00B92C6F">
        <w:t xml:space="preserve">project </w:t>
      </w:r>
      <w:r w:rsidR="00CD2E4D">
        <w:t>is viable</w:t>
      </w:r>
      <w:r w:rsidR="00B92C6F">
        <w:t xml:space="preserve">.  </w:t>
      </w:r>
      <w:r w:rsidR="001F7F93">
        <w:t xml:space="preserve">A </w:t>
      </w:r>
      <w:r w:rsidR="00CD2E4D">
        <w:t xml:space="preserve">workable </w:t>
      </w:r>
      <w:r w:rsidR="001F7F93">
        <w:t xml:space="preserve">middle ground would be to require </w:t>
      </w:r>
      <w:r w:rsidR="008208A5">
        <w:t xml:space="preserve">completion of the </w:t>
      </w:r>
      <w:r w:rsidR="001F7F93">
        <w:t xml:space="preserve">System Impact </w:t>
      </w:r>
      <w:r w:rsidR="00CD2E4D">
        <w:t xml:space="preserve">and Facilities </w:t>
      </w:r>
      <w:r w:rsidR="001F7F93">
        <w:t>Stud</w:t>
      </w:r>
      <w:r w:rsidR="004C643E">
        <w:t>ies</w:t>
      </w:r>
      <w:r w:rsidR="001F7F93">
        <w:t xml:space="preserve"> so that </w:t>
      </w:r>
      <w:r w:rsidR="00727313">
        <w:t xml:space="preserve">system </w:t>
      </w:r>
      <w:r w:rsidR="001F7F93">
        <w:t xml:space="preserve">upgrades are identified and can be factored </w:t>
      </w:r>
      <w:r w:rsidR="00034E71">
        <w:t xml:space="preserve">into </w:t>
      </w:r>
      <w:r w:rsidR="00F90417">
        <w:t>the decision to move forward.</w:t>
      </w:r>
      <w:r w:rsidR="00140F24">
        <w:t xml:space="preserve">  </w:t>
      </w:r>
      <w:r w:rsidR="00727313">
        <w:t>F</w:t>
      </w:r>
      <w:r w:rsidR="00140F24">
        <w:t xml:space="preserve">or </w:t>
      </w:r>
      <w:r w:rsidR="00A70B65">
        <w:t xml:space="preserve">projects that will be interconnected to the </w:t>
      </w:r>
      <w:r w:rsidR="00CD2E4D">
        <w:t xml:space="preserve">electric </w:t>
      </w:r>
      <w:r w:rsidR="00A70B65">
        <w:t xml:space="preserve">transmission system </w:t>
      </w:r>
      <w:r w:rsidR="00CD2E4D">
        <w:t xml:space="preserve">following </w:t>
      </w:r>
      <w:r w:rsidR="00A70B65">
        <w:t>MISO</w:t>
      </w:r>
      <w:r w:rsidR="00CD2E4D">
        <w:t>’s</w:t>
      </w:r>
      <w:r w:rsidR="00A70B65">
        <w:t xml:space="preserve"> </w:t>
      </w:r>
      <w:r w:rsidR="00CD2E4D">
        <w:t xml:space="preserve">generation </w:t>
      </w:r>
      <w:r w:rsidR="00A70B65">
        <w:t xml:space="preserve">interconnection process, completion of the facilities study should </w:t>
      </w:r>
      <w:r w:rsidR="00CD2E4D">
        <w:t xml:space="preserve">also </w:t>
      </w:r>
      <w:r w:rsidR="00A70B65">
        <w:t xml:space="preserve">be required.  </w:t>
      </w:r>
    </w:p>
    <w:p w14:paraId="03277ED4" w14:textId="448489F3" w:rsidR="009E718F" w:rsidRDefault="009E718F">
      <w:r>
        <w:tab/>
      </w:r>
      <w:r w:rsidRPr="00BD5FEB">
        <w:rPr>
          <w:u w:val="single"/>
        </w:rPr>
        <w:t xml:space="preserve">Submission of </w:t>
      </w:r>
      <w:r w:rsidR="00635FFE" w:rsidRPr="00BD5FEB">
        <w:rPr>
          <w:u w:val="single"/>
        </w:rPr>
        <w:t xml:space="preserve">a </w:t>
      </w:r>
      <w:r w:rsidR="00BD5FEB" w:rsidRPr="00BD5FEB">
        <w:rPr>
          <w:u w:val="single"/>
        </w:rPr>
        <w:t>s</w:t>
      </w:r>
      <w:r w:rsidR="00635FFE" w:rsidRPr="00BD5FEB">
        <w:rPr>
          <w:u w:val="single"/>
        </w:rPr>
        <w:t xml:space="preserve">igned </w:t>
      </w:r>
      <w:r w:rsidR="00BD5FEB" w:rsidRPr="00BD5FEB">
        <w:rPr>
          <w:u w:val="single"/>
        </w:rPr>
        <w:t>p</w:t>
      </w:r>
      <w:r w:rsidR="00635FFE" w:rsidRPr="00BD5FEB">
        <w:rPr>
          <w:u w:val="single"/>
        </w:rPr>
        <w:t>roposed</w:t>
      </w:r>
      <w:r w:rsidRPr="00BD5FEB">
        <w:rPr>
          <w:u w:val="single"/>
        </w:rPr>
        <w:t xml:space="preserve"> P</w:t>
      </w:r>
      <w:r w:rsidR="005A7569" w:rsidRPr="00BD5FEB">
        <w:rPr>
          <w:u w:val="single"/>
        </w:rPr>
        <w:t>PA</w:t>
      </w:r>
      <w:r>
        <w:t xml:space="preserve">:  </w:t>
      </w:r>
      <w:r w:rsidR="00387084">
        <w:t>Option 1</w:t>
      </w:r>
      <w:r w:rsidR="0015672F">
        <w:t>(1)(b)</w:t>
      </w:r>
      <w:r w:rsidR="00387084">
        <w:t xml:space="preserve"> requires </w:t>
      </w:r>
      <w:r w:rsidR="00E61346">
        <w:t xml:space="preserve">the developer to submit </w:t>
      </w:r>
      <w:r w:rsidR="004F5915">
        <w:t xml:space="preserve">a </w:t>
      </w:r>
      <w:r w:rsidR="00387084">
        <w:t>signed</w:t>
      </w:r>
      <w:r w:rsidR="00E86500">
        <w:t xml:space="preserve"> standard offer </w:t>
      </w:r>
      <w:r w:rsidR="00E61346">
        <w:t xml:space="preserve">or </w:t>
      </w:r>
      <w:r w:rsidR="00635FFE">
        <w:t xml:space="preserve">proposed </w:t>
      </w:r>
      <w:r w:rsidR="00387084">
        <w:t>P</w:t>
      </w:r>
      <w:r w:rsidR="00475A26">
        <w:t>PA</w:t>
      </w:r>
      <w:r w:rsidR="00387084">
        <w:t xml:space="preserve"> with the </w:t>
      </w:r>
      <w:r w:rsidR="00727313">
        <w:t>attendant details</w:t>
      </w:r>
      <w:r w:rsidR="00C23AAF">
        <w:t xml:space="preserve">.  This is an important step so that both parties have the same understanding of the </w:t>
      </w:r>
      <w:r w:rsidR="00727313">
        <w:t xml:space="preserve">developer’s </w:t>
      </w:r>
      <w:r w:rsidR="00C23AAF">
        <w:t xml:space="preserve">price expectation </w:t>
      </w:r>
      <w:r w:rsidR="004C643E">
        <w:t xml:space="preserve">and terms </w:t>
      </w:r>
      <w:r w:rsidR="00C23AAF">
        <w:t xml:space="preserve">for the contract. </w:t>
      </w:r>
      <w:r w:rsidR="004222FB">
        <w:t>T</w:t>
      </w:r>
      <w:r w:rsidR="004F5915">
        <w:t xml:space="preserve">he utility </w:t>
      </w:r>
      <w:r w:rsidR="00F86972">
        <w:t xml:space="preserve">would not </w:t>
      </w:r>
      <w:r w:rsidR="004F5915">
        <w:t xml:space="preserve">be bound to any specific terms simply because they have been included in a </w:t>
      </w:r>
      <w:r w:rsidR="00EB6D52">
        <w:t xml:space="preserve">non-standard </w:t>
      </w:r>
      <w:r w:rsidR="004F5915">
        <w:t xml:space="preserve">proposed </w:t>
      </w:r>
      <w:r w:rsidR="00F86972">
        <w:t xml:space="preserve">PPA </w:t>
      </w:r>
      <w:r w:rsidR="004F5915">
        <w:t>proffered by a qualifying facility</w:t>
      </w:r>
      <w:r w:rsidR="00C23AAF">
        <w:t xml:space="preserve">.   </w:t>
      </w:r>
    </w:p>
    <w:p w14:paraId="7983214D" w14:textId="25F3B016" w:rsidR="00822EC5" w:rsidRDefault="002C3ACA" w:rsidP="00853C39">
      <w:pPr>
        <w:ind w:firstLine="720"/>
      </w:pPr>
      <w:r>
        <w:t>The parameters for establishing a LEO are key to the successful implementation of PURPA so that developers have clari</w:t>
      </w:r>
      <w:r w:rsidR="00BD5F88">
        <w:t>t</w:t>
      </w:r>
      <w:r>
        <w:t>y on what is required to receive a PURPA contract</w:t>
      </w:r>
      <w:r w:rsidR="003901BE">
        <w:t>,</w:t>
      </w:r>
      <w:r>
        <w:t xml:space="preserve"> and utilities have certainty that the projects they are contracting </w:t>
      </w:r>
      <w:r w:rsidR="003901BE">
        <w:t>for</w:t>
      </w:r>
      <w:r>
        <w:t xml:space="preserve"> will in fact go into service and can be taking into consideration when conducting future </w:t>
      </w:r>
      <w:r w:rsidR="0084229A">
        <w:t xml:space="preserve">resource </w:t>
      </w:r>
      <w:r>
        <w:t xml:space="preserve">planning.  MEGA </w:t>
      </w:r>
      <w:r w:rsidR="00BD5F88">
        <w:t>looks forward to continued input and discussion on this important topic as these rules are finalized</w:t>
      </w:r>
      <w:r w:rsidR="00822EC5">
        <w:t>.</w:t>
      </w:r>
    </w:p>
    <w:sectPr w:rsidR="00822EC5" w:rsidSect="007B086A">
      <w:headerReference w:type="default" r:id="rId7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C2049" w14:textId="77777777" w:rsidR="007443BD" w:rsidRDefault="007443BD" w:rsidP="00F80085">
      <w:pPr>
        <w:spacing w:after="0" w:line="240" w:lineRule="auto"/>
      </w:pPr>
      <w:r>
        <w:separator/>
      </w:r>
    </w:p>
  </w:endnote>
  <w:endnote w:type="continuationSeparator" w:id="0">
    <w:p w14:paraId="71F11C00" w14:textId="77777777" w:rsidR="007443BD" w:rsidRDefault="007443BD" w:rsidP="00F8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25847" w14:textId="77777777" w:rsidR="007443BD" w:rsidRDefault="007443BD" w:rsidP="00F80085">
      <w:pPr>
        <w:spacing w:after="0" w:line="240" w:lineRule="auto"/>
      </w:pPr>
      <w:r>
        <w:separator/>
      </w:r>
    </w:p>
  </w:footnote>
  <w:footnote w:type="continuationSeparator" w:id="0">
    <w:p w14:paraId="07E90DD6" w14:textId="77777777" w:rsidR="007443BD" w:rsidRDefault="007443BD" w:rsidP="00F80085">
      <w:pPr>
        <w:spacing w:after="0" w:line="240" w:lineRule="auto"/>
      </w:pPr>
      <w:r>
        <w:continuationSeparator/>
      </w:r>
    </w:p>
  </w:footnote>
  <w:footnote w:id="1">
    <w:p w14:paraId="5A8C6944" w14:textId="65016C0E" w:rsidR="00814B27" w:rsidRDefault="00814B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20555" w:rsidRPr="00B22746">
        <w:rPr>
          <w:i/>
          <w:iCs/>
        </w:rPr>
        <w:t>Power Resource Group</w:t>
      </w:r>
      <w:r w:rsidR="00D36F3B" w:rsidRPr="00B22746">
        <w:rPr>
          <w:i/>
          <w:iCs/>
        </w:rPr>
        <w:t>, Inc. v. Pub</w:t>
      </w:r>
      <w:r w:rsidR="00801336">
        <w:rPr>
          <w:i/>
          <w:iCs/>
        </w:rPr>
        <w:t>.</w:t>
      </w:r>
      <w:r w:rsidR="00D36F3B" w:rsidRPr="00B22746">
        <w:rPr>
          <w:i/>
          <w:iCs/>
        </w:rPr>
        <w:t xml:space="preserve"> Util</w:t>
      </w:r>
      <w:r w:rsidR="00801336">
        <w:rPr>
          <w:i/>
          <w:iCs/>
        </w:rPr>
        <w:t>.</w:t>
      </w:r>
      <w:r w:rsidR="00D36F3B" w:rsidRPr="00B22746">
        <w:rPr>
          <w:i/>
          <w:iCs/>
        </w:rPr>
        <w:t xml:space="preserve"> Comm</w:t>
      </w:r>
      <w:r w:rsidR="00801336">
        <w:rPr>
          <w:i/>
          <w:iCs/>
        </w:rPr>
        <w:t xml:space="preserve">’n of </w:t>
      </w:r>
      <w:r w:rsidR="00D36F3B" w:rsidRPr="00B22746">
        <w:rPr>
          <w:i/>
          <w:iCs/>
        </w:rPr>
        <w:t>Texas</w:t>
      </w:r>
      <w:r w:rsidR="00526346">
        <w:t>,</w:t>
      </w:r>
      <w:r w:rsidR="00B22746">
        <w:t xml:space="preserve"> 422 F.3d 23</w:t>
      </w:r>
      <w:r w:rsidR="00BB416F">
        <w:t>1 (5</w:t>
      </w:r>
      <w:r w:rsidR="00BB416F" w:rsidRPr="00BB416F">
        <w:rPr>
          <w:vertAlign w:val="superscript"/>
        </w:rPr>
        <w:t>th</w:t>
      </w:r>
      <w:r w:rsidR="00BB416F">
        <w:t xml:space="preserve"> Cir. 2005)</w:t>
      </w:r>
      <w:r w:rsidR="00C509D9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C992E" w14:textId="7DF8C6BF" w:rsidR="00F80085" w:rsidRDefault="00F80085" w:rsidP="00F80085">
    <w:pPr>
      <w:pStyle w:val="Header"/>
      <w:jc w:val="center"/>
    </w:pPr>
    <w:r>
      <w:rPr>
        <w:noProof/>
      </w:rPr>
      <w:drawing>
        <wp:inline distT="0" distB="0" distL="0" distR="0" wp14:anchorId="4BED8054" wp14:editId="7160E291">
          <wp:extent cx="2221362" cy="795889"/>
          <wp:effectExtent l="0" t="0" r="0" b="444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463" cy="840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C5"/>
    <w:rsid w:val="00002749"/>
    <w:rsid w:val="00034E71"/>
    <w:rsid w:val="000638F6"/>
    <w:rsid w:val="00094A78"/>
    <w:rsid w:val="000A6529"/>
    <w:rsid w:val="000D6AAE"/>
    <w:rsid w:val="000E1C4F"/>
    <w:rsid w:val="000E6D42"/>
    <w:rsid w:val="0010674C"/>
    <w:rsid w:val="00115AF6"/>
    <w:rsid w:val="00140F24"/>
    <w:rsid w:val="00150B78"/>
    <w:rsid w:val="0015380E"/>
    <w:rsid w:val="0015672F"/>
    <w:rsid w:val="001640F2"/>
    <w:rsid w:val="0019036C"/>
    <w:rsid w:val="001A7500"/>
    <w:rsid w:val="001F7F93"/>
    <w:rsid w:val="00220555"/>
    <w:rsid w:val="00273E88"/>
    <w:rsid w:val="002971A1"/>
    <w:rsid w:val="002C3ACA"/>
    <w:rsid w:val="002C68CD"/>
    <w:rsid w:val="00387084"/>
    <w:rsid w:val="003901BE"/>
    <w:rsid w:val="003A23BF"/>
    <w:rsid w:val="004222FB"/>
    <w:rsid w:val="00475A26"/>
    <w:rsid w:val="004C643E"/>
    <w:rsid w:val="004E618F"/>
    <w:rsid w:val="004F5915"/>
    <w:rsid w:val="00521AC9"/>
    <w:rsid w:val="00526346"/>
    <w:rsid w:val="005A7569"/>
    <w:rsid w:val="005B074D"/>
    <w:rsid w:val="00635FFE"/>
    <w:rsid w:val="007007D3"/>
    <w:rsid w:val="00712E88"/>
    <w:rsid w:val="00727313"/>
    <w:rsid w:val="007443BD"/>
    <w:rsid w:val="00781973"/>
    <w:rsid w:val="007B086A"/>
    <w:rsid w:val="007C0666"/>
    <w:rsid w:val="00801336"/>
    <w:rsid w:val="00814B27"/>
    <w:rsid w:val="008208A5"/>
    <w:rsid w:val="00822EC5"/>
    <w:rsid w:val="00826F7E"/>
    <w:rsid w:val="0084229A"/>
    <w:rsid w:val="00853C39"/>
    <w:rsid w:val="008F40A1"/>
    <w:rsid w:val="00901F82"/>
    <w:rsid w:val="0097063C"/>
    <w:rsid w:val="009708CF"/>
    <w:rsid w:val="00984B78"/>
    <w:rsid w:val="009A23B9"/>
    <w:rsid w:val="009A5299"/>
    <w:rsid w:val="009C5A97"/>
    <w:rsid w:val="009E718F"/>
    <w:rsid w:val="00A70B65"/>
    <w:rsid w:val="00AA19A7"/>
    <w:rsid w:val="00B22746"/>
    <w:rsid w:val="00B23005"/>
    <w:rsid w:val="00B90F87"/>
    <w:rsid w:val="00B92C6F"/>
    <w:rsid w:val="00BB416F"/>
    <w:rsid w:val="00BD5F88"/>
    <w:rsid w:val="00BD5FEB"/>
    <w:rsid w:val="00C23AAF"/>
    <w:rsid w:val="00C509D9"/>
    <w:rsid w:val="00C5702C"/>
    <w:rsid w:val="00C72C52"/>
    <w:rsid w:val="00C76568"/>
    <w:rsid w:val="00C919EC"/>
    <w:rsid w:val="00C92830"/>
    <w:rsid w:val="00CC643B"/>
    <w:rsid w:val="00CD2E4D"/>
    <w:rsid w:val="00D36F3B"/>
    <w:rsid w:val="00D546D4"/>
    <w:rsid w:val="00D85EEA"/>
    <w:rsid w:val="00DD64A4"/>
    <w:rsid w:val="00DE62CE"/>
    <w:rsid w:val="00E61346"/>
    <w:rsid w:val="00E77892"/>
    <w:rsid w:val="00E8264E"/>
    <w:rsid w:val="00E86500"/>
    <w:rsid w:val="00E96DF3"/>
    <w:rsid w:val="00EB6D52"/>
    <w:rsid w:val="00EE5739"/>
    <w:rsid w:val="00F00E01"/>
    <w:rsid w:val="00F4520A"/>
    <w:rsid w:val="00F80085"/>
    <w:rsid w:val="00F86972"/>
    <w:rsid w:val="00F90417"/>
    <w:rsid w:val="00FB73E4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2ADA"/>
  <w15:docId w15:val="{694E7390-CC6A-441B-B0B8-CB88D624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085"/>
  </w:style>
  <w:style w:type="paragraph" w:styleId="Footer">
    <w:name w:val="footer"/>
    <w:basedOn w:val="Normal"/>
    <w:link w:val="FooterChar"/>
    <w:uiPriority w:val="99"/>
    <w:unhideWhenUsed/>
    <w:rsid w:val="00F80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085"/>
  </w:style>
  <w:style w:type="character" w:styleId="CommentReference">
    <w:name w:val="annotation reference"/>
    <w:basedOn w:val="DefaultParagraphFont"/>
    <w:uiPriority w:val="99"/>
    <w:semiHidden/>
    <w:unhideWhenUsed/>
    <w:rsid w:val="00CD2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E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E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E4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C643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14B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B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4B27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C92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2CDFF-4BA1-468C-80E2-BC08F5FA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Xcel Energy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Paslawski</dc:creator>
  <cp:lastModifiedBy>Stow, April (LARA)</cp:lastModifiedBy>
  <cp:revision>2</cp:revision>
  <dcterms:created xsi:type="dcterms:W3CDTF">2019-07-02T19:12:00Z</dcterms:created>
  <dcterms:modified xsi:type="dcterms:W3CDTF">2019-07-02T19:12:00Z</dcterms:modified>
</cp:coreProperties>
</file>