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0E903" w14:textId="77777777" w:rsidR="00697F16" w:rsidRDefault="00697F16" w:rsidP="00697F16">
      <w:pPr>
        <w:jc w:val="right"/>
      </w:pPr>
    </w:p>
    <w:p w14:paraId="3737FDC5" w14:textId="77777777" w:rsidR="00697F16" w:rsidRPr="005F4C12" w:rsidRDefault="00697F16" w:rsidP="004751C9">
      <w:pPr>
        <w:spacing w:line="240" w:lineRule="auto"/>
        <w:jc w:val="center"/>
        <w:rPr>
          <w:rFonts w:ascii="Arial" w:hAnsi="Arial" w:cs="Arial"/>
          <w:b/>
          <w:sz w:val="26"/>
          <w:szCs w:val="26"/>
          <w:u w:val="single"/>
        </w:rPr>
      </w:pPr>
      <w:r w:rsidRPr="005F4C12">
        <w:rPr>
          <w:rFonts w:ascii="Arial" w:hAnsi="Arial" w:cs="Arial"/>
          <w:b/>
          <w:sz w:val="26"/>
          <w:szCs w:val="26"/>
          <w:u w:val="single"/>
        </w:rPr>
        <w:t>PART I FILING INSTRUCTIONS ACCOMPANYING STANDARD EXHIBITS AND SCHEDULES FOR RATE CASE FILINGS</w:t>
      </w:r>
    </w:p>
    <w:p w14:paraId="7A0F34B2" w14:textId="77777777" w:rsidR="00697F16" w:rsidRPr="00295012" w:rsidRDefault="00697F16" w:rsidP="004751C9">
      <w:pPr>
        <w:spacing w:line="240" w:lineRule="auto"/>
        <w:jc w:val="center"/>
        <w:rPr>
          <w:rFonts w:ascii="Arial" w:hAnsi="Arial" w:cs="Arial"/>
        </w:rPr>
      </w:pPr>
    </w:p>
    <w:p w14:paraId="34659178" w14:textId="77777777" w:rsidR="00697F16" w:rsidRPr="005F4C12" w:rsidRDefault="00697F16" w:rsidP="00F823D8">
      <w:pPr>
        <w:spacing w:after="0" w:line="240" w:lineRule="auto"/>
        <w:rPr>
          <w:rFonts w:ascii="Arial" w:hAnsi="Arial" w:cs="Arial"/>
          <w:b/>
          <w:u w:val="single"/>
        </w:rPr>
      </w:pPr>
      <w:r w:rsidRPr="005F4C12">
        <w:rPr>
          <w:rFonts w:ascii="Arial" w:hAnsi="Arial" w:cs="Arial"/>
          <w:b/>
          <w:u w:val="single"/>
        </w:rPr>
        <w:t>General Instructions</w:t>
      </w:r>
    </w:p>
    <w:p w14:paraId="535F602C" w14:textId="696124E0" w:rsidR="00697F16" w:rsidRDefault="00697F16" w:rsidP="00212620">
      <w:pPr>
        <w:spacing w:before="120" w:after="0" w:line="240" w:lineRule="auto"/>
        <w:rPr>
          <w:rFonts w:ascii="Arial" w:hAnsi="Arial" w:cs="Arial"/>
        </w:rPr>
      </w:pPr>
      <w:r w:rsidRPr="00295012">
        <w:rPr>
          <w:rFonts w:ascii="Arial" w:hAnsi="Arial" w:cs="Arial"/>
        </w:rPr>
        <w:t>Pursuant to MCL 460.6a, utility applicants may use projected costs and revenues for a future consecutive 12-month period in developing</w:t>
      </w:r>
      <w:r w:rsidR="00EA0BF6" w:rsidRPr="00295012">
        <w:rPr>
          <w:rFonts w:ascii="Arial" w:hAnsi="Arial" w:cs="Arial"/>
        </w:rPr>
        <w:t xml:space="preserve"> its requested rates and charges.  If a utility elects to do so, it must identify the future consecutive 12-month period used to develop the projected costs and revenues, and reflect in its filing the costs and revenues expected to be experienced during that period.  </w:t>
      </w:r>
      <w:r w:rsidR="00F1205B">
        <w:rPr>
          <w:rFonts w:ascii="Arial" w:hAnsi="Arial" w:cs="Arial"/>
        </w:rPr>
        <w:t>Projected costs and revenues for the future consecutive 12-month period which deviate from actual costs and revenues in the most recent historical 12-month period shall be identified, and any such deviations shall be descri</w:t>
      </w:r>
      <w:r w:rsidR="00B36837">
        <w:rPr>
          <w:rFonts w:ascii="Arial" w:hAnsi="Arial" w:cs="Arial"/>
        </w:rPr>
        <w:t>b</w:t>
      </w:r>
      <w:r w:rsidR="00F1205B">
        <w:rPr>
          <w:rFonts w:ascii="Arial" w:hAnsi="Arial" w:cs="Arial"/>
        </w:rPr>
        <w:t xml:space="preserve">ed and explained.  </w:t>
      </w:r>
      <w:r w:rsidR="00EA0BF6" w:rsidRPr="00295012">
        <w:rPr>
          <w:rFonts w:ascii="Arial" w:hAnsi="Arial" w:cs="Arial"/>
        </w:rPr>
        <w:t>Where these instructions specify that a particular set of information or ratemaking approach should be used, the utility shall provide that information and use that approach, but may propose that alternative information and ratemaking approaches be used to establish rates for the projected period.  Such alternative information and approaches may be explained and justified.</w:t>
      </w:r>
    </w:p>
    <w:p w14:paraId="0CF96B74" w14:textId="77777777" w:rsidR="004D01F6" w:rsidRDefault="004D01F6" w:rsidP="00F823D8">
      <w:pPr>
        <w:spacing w:after="0" w:line="240" w:lineRule="auto"/>
        <w:rPr>
          <w:rFonts w:ascii="Arial" w:hAnsi="Arial" w:cs="Arial"/>
        </w:rPr>
      </w:pPr>
    </w:p>
    <w:p w14:paraId="579BF118" w14:textId="23145415" w:rsidR="004D01F6" w:rsidRPr="00295012" w:rsidRDefault="005A2DC8" w:rsidP="00F823D8">
      <w:pPr>
        <w:spacing w:after="0" w:line="240" w:lineRule="auto"/>
        <w:rPr>
          <w:rFonts w:ascii="Arial" w:hAnsi="Arial" w:cs="Arial"/>
        </w:rPr>
      </w:pPr>
      <w:r>
        <w:rPr>
          <w:rFonts w:ascii="Arial" w:hAnsi="Arial" w:cs="Arial"/>
        </w:rPr>
        <w:t xml:space="preserve">A utility shall </w:t>
      </w:r>
      <w:r w:rsidR="00BB2B8F">
        <w:rPr>
          <w:rFonts w:ascii="Arial" w:hAnsi="Arial" w:cs="Arial"/>
        </w:rPr>
        <w:t>satisfy all Pre-Filing Requirements</w:t>
      </w:r>
      <w:r w:rsidR="004F674B">
        <w:rPr>
          <w:rFonts w:ascii="Arial" w:hAnsi="Arial" w:cs="Arial"/>
        </w:rPr>
        <w:t xml:space="preserve"> </w:t>
      </w:r>
      <w:r w:rsidR="00BB2B8F">
        <w:rPr>
          <w:rFonts w:ascii="Arial" w:hAnsi="Arial" w:cs="Arial"/>
        </w:rPr>
        <w:t>(see Attachment 1)</w:t>
      </w:r>
      <w:r w:rsidR="004F674B">
        <w:rPr>
          <w:rFonts w:ascii="Arial" w:hAnsi="Arial" w:cs="Arial"/>
        </w:rPr>
        <w:t>.</w:t>
      </w:r>
      <w:r w:rsidR="00BB2B8F">
        <w:rPr>
          <w:rFonts w:ascii="Arial" w:hAnsi="Arial" w:cs="Arial"/>
        </w:rPr>
        <w:t xml:space="preserve"> </w:t>
      </w:r>
    </w:p>
    <w:p w14:paraId="147D0927" w14:textId="77777777" w:rsidR="00F823D8" w:rsidRPr="00295012" w:rsidRDefault="00F823D8" w:rsidP="00F823D8">
      <w:pPr>
        <w:spacing w:after="0" w:line="240" w:lineRule="auto"/>
        <w:rPr>
          <w:rFonts w:ascii="Arial" w:hAnsi="Arial" w:cs="Arial"/>
        </w:rPr>
      </w:pPr>
    </w:p>
    <w:p w14:paraId="1BD4D212" w14:textId="77777777" w:rsidR="00EA0BF6" w:rsidRPr="00295012" w:rsidRDefault="00EA0BF6" w:rsidP="00F823D8">
      <w:pPr>
        <w:spacing w:after="0" w:line="240" w:lineRule="auto"/>
        <w:rPr>
          <w:rFonts w:ascii="Arial" w:hAnsi="Arial" w:cs="Arial"/>
        </w:rPr>
      </w:pPr>
      <w:r w:rsidRPr="00295012">
        <w:rPr>
          <w:rFonts w:ascii="Arial" w:hAnsi="Arial" w:cs="Arial"/>
        </w:rPr>
        <w:t>Where the utility prepares its filing in a manner that differs from a policy or practice adopted by the Commission in the preceding general rate case for the utility, it shall identify such difference, and shall quantify, to the extent practicable, the impact on the utility’s revenue requirement calculation of that difference.</w:t>
      </w:r>
      <w:r w:rsidR="006C352B">
        <w:rPr>
          <w:rFonts w:ascii="Arial" w:hAnsi="Arial" w:cs="Arial"/>
        </w:rPr>
        <w:t xml:space="preserve"> </w:t>
      </w:r>
    </w:p>
    <w:p w14:paraId="4E8BB928" w14:textId="77777777" w:rsidR="00F823D8" w:rsidRPr="00295012" w:rsidRDefault="00F823D8" w:rsidP="00F823D8">
      <w:pPr>
        <w:spacing w:after="0" w:line="240" w:lineRule="auto"/>
        <w:rPr>
          <w:rFonts w:ascii="Arial" w:hAnsi="Arial" w:cs="Arial"/>
        </w:rPr>
      </w:pPr>
    </w:p>
    <w:p w14:paraId="614B0B58" w14:textId="2975CF8B" w:rsidR="00EA0BF6" w:rsidRPr="00295012" w:rsidRDefault="00E46DAF" w:rsidP="00F823D8">
      <w:pPr>
        <w:spacing w:after="0" w:line="240" w:lineRule="auto"/>
        <w:rPr>
          <w:rFonts w:ascii="Arial" w:hAnsi="Arial" w:cs="Arial"/>
        </w:rPr>
      </w:pPr>
      <w:r>
        <w:rPr>
          <w:rFonts w:ascii="Arial" w:hAnsi="Arial" w:cs="Arial"/>
        </w:rPr>
        <w:t>W</w:t>
      </w:r>
      <w:r w:rsidR="00A50D34">
        <w:rPr>
          <w:rFonts w:ascii="Arial" w:hAnsi="Arial" w:cs="Arial"/>
        </w:rPr>
        <w:t>ith the exception of Schedule F</w:t>
      </w:r>
      <w:r w:rsidR="00BC431C">
        <w:rPr>
          <w:rFonts w:ascii="Arial" w:hAnsi="Arial" w:cs="Arial"/>
        </w:rPr>
        <w:t>-</w:t>
      </w:r>
      <w:r w:rsidR="00A50D34">
        <w:rPr>
          <w:rFonts w:ascii="Arial" w:hAnsi="Arial" w:cs="Arial"/>
        </w:rPr>
        <w:t>5 Proposed Tariff Sheets,</w:t>
      </w:r>
      <w:r w:rsidR="00EA0BF6" w:rsidRPr="00295012">
        <w:rPr>
          <w:rFonts w:ascii="Arial" w:hAnsi="Arial" w:cs="Arial"/>
        </w:rPr>
        <w:t xml:space="preserve"> </w:t>
      </w:r>
      <w:r>
        <w:rPr>
          <w:rFonts w:ascii="Arial" w:hAnsi="Arial" w:cs="Arial"/>
        </w:rPr>
        <w:t xml:space="preserve">the standard exhibits </w:t>
      </w:r>
      <w:r w:rsidR="00EA0BF6" w:rsidRPr="00295012">
        <w:rPr>
          <w:rFonts w:ascii="Arial" w:hAnsi="Arial" w:cs="Arial"/>
        </w:rPr>
        <w:t xml:space="preserve">shall be provided electronically in </w:t>
      </w:r>
      <w:r w:rsidR="00A50D34">
        <w:rPr>
          <w:rFonts w:ascii="Arial" w:hAnsi="Arial" w:cs="Arial"/>
        </w:rPr>
        <w:t xml:space="preserve">native </w:t>
      </w:r>
      <w:r w:rsidR="00EA0BF6" w:rsidRPr="00295012">
        <w:rPr>
          <w:rFonts w:ascii="Arial" w:hAnsi="Arial" w:cs="Arial"/>
        </w:rPr>
        <w:t xml:space="preserve">Microsoft Excel format </w:t>
      </w:r>
      <w:r w:rsidR="00A50D34">
        <w:rPr>
          <w:rFonts w:ascii="Arial" w:hAnsi="Arial" w:cs="Arial"/>
        </w:rPr>
        <w:t>with all formulas and link</w:t>
      </w:r>
      <w:r>
        <w:rPr>
          <w:rFonts w:ascii="Arial" w:hAnsi="Arial" w:cs="Arial"/>
        </w:rPr>
        <w:t>s</w:t>
      </w:r>
      <w:r w:rsidR="00A50D34">
        <w:rPr>
          <w:rFonts w:ascii="Arial" w:hAnsi="Arial" w:cs="Arial"/>
        </w:rPr>
        <w:t xml:space="preserve"> active. </w:t>
      </w:r>
      <w:r w:rsidR="00EA0BF6" w:rsidRPr="00295012">
        <w:rPr>
          <w:rFonts w:ascii="Arial" w:hAnsi="Arial" w:cs="Arial"/>
        </w:rPr>
        <w:t xml:space="preserve"> </w:t>
      </w:r>
      <w:r w:rsidR="00A50D34">
        <w:rPr>
          <w:rFonts w:ascii="Arial" w:hAnsi="Arial" w:cs="Arial"/>
        </w:rPr>
        <w:t xml:space="preserve">The </w:t>
      </w:r>
      <w:r w:rsidR="00EA0BF6" w:rsidRPr="00295012">
        <w:rPr>
          <w:rFonts w:ascii="Arial" w:hAnsi="Arial" w:cs="Arial"/>
        </w:rPr>
        <w:t>Schedule F</w:t>
      </w:r>
      <w:r w:rsidR="00BC431C">
        <w:rPr>
          <w:rFonts w:ascii="Arial" w:hAnsi="Arial" w:cs="Arial"/>
        </w:rPr>
        <w:t>-</w:t>
      </w:r>
      <w:r w:rsidR="00EA0BF6" w:rsidRPr="00295012">
        <w:rPr>
          <w:rFonts w:ascii="Arial" w:hAnsi="Arial" w:cs="Arial"/>
        </w:rPr>
        <w:t xml:space="preserve">5 Proposed Tariff Sheets shall be supplied in Microsoft Word format.  Information included on the schedules shall be sourced to </w:t>
      </w:r>
      <w:proofErr w:type="spellStart"/>
      <w:r w:rsidR="00EA0BF6" w:rsidRPr="00295012">
        <w:rPr>
          <w:rFonts w:ascii="Arial" w:hAnsi="Arial" w:cs="Arial"/>
        </w:rPr>
        <w:t>workpapers</w:t>
      </w:r>
      <w:proofErr w:type="spellEnd"/>
      <w:r w:rsidR="00EA0BF6" w:rsidRPr="00295012">
        <w:rPr>
          <w:rFonts w:ascii="Arial" w:hAnsi="Arial" w:cs="Arial"/>
        </w:rPr>
        <w:t xml:space="preserve"> and other supporting documents that are included in the case filing.</w:t>
      </w:r>
      <w:r w:rsidR="00B077D1">
        <w:rPr>
          <w:rFonts w:ascii="Arial" w:hAnsi="Arial" w:cs="Arial"/>
        </w:rPr>
        <w:t xml:space="preserve">  Any </w:t>
      </w:r>
      <w:proofErr w:type="spellStart"/>
      <w:r w:rsidR="00B077D1">
        <w:rPr>
          <w:rFonts w:ascii="Arial" w:hAnsi="Arial" w:cs="Arial"/>
        </w:rPr>
        <w:t>workpapers</w:t>
      </w:r>
      <w:proofErr w:type="spellEnd"/>
      <w:r w:rsidR="00B077D1">
        <w:rPr>
          <w:rFonts w:ascii="Arial" w:hAnsi="Arial" w:cs="Arial"/>
        </w:rPr>
        <w:t xml:space="preserve"> and other supporting documents that are Microsoft Excel based shall also be provided electronically in native Microsoft Excel format with all formulas and link</w:t>
      </w:r>
      <w:r w:rsidR="002F0317">
        <w:rPr>
          <w:rFonts w:ascii="Arial" w:hAnsi="Arial" w:cs="Arial"/>
        </w:rPr>
        <w:t>s</w:t>
      </w:r>
      <w:r w:rsidR="00B077D1">
        <w:rPr>
          <w:rFonts w:ascii="Arial" w:hAnsi="Arial" w:cs="Arial"/>
        </w:rPr>
        <w:t xml:space="preserve"> active.  </w:t>
      </w:r>
    </w:p>
    <w:p w14:paraId="16FF2AAE" w14:textId="77777777" w:rsidR="00F823D8" w:rsidRPr="00295012" w:rsidRDefault="00F823D8" w:rsidP="00F823D8">
      <w:pPr>
        <w:spacing w:after="0" w:line="240" w:lineRule="auto"/>
        <w:rPr>
          <w:rFonts w:ascii="Arial" w:hAnsi="Arial" w:cs="Arial"/>
        </w:rPr>
      </w:pPr>
    </w:p>
    <w:p w14:paraId="5615046A" w14:textId="2B697FBB" w:rsidR="00EA0BF6" w:rsidRPr="00295012" w:rsidRDefault="00EA0BF6" w:rsidP="00F823D8">
      <w:pPr>
        <w:spacing w:after="0" w:line="240" w:lineRule="auto"/>
        <w:rPr>
          <w:rFonts w:ascii="Arial" w:hAnsi="Arial" w:cs="Arial"/>
        </w:rPr>
      </w:pPr>
      <w:r w:rsidRPr="00295012">
        <w:rPr>
          <w:rFonts w:ascii="Arial" w:hAnsi="Arial" w:cs="Arial"/>
        </w:rPr>
        <w:t>The standard exhibit titles listed below must specify the projected future 12-month period upon which the filing is based.</w:t>
      </w:r>
      <w:r w:rsidR="00083CB7">
        <w:rPr>
          <w:rFonts w:ascii="Arial" w:hAnsi="Arial" w:cs="Arial"/>
        </w:rPr>
        <w:t xml:space="preserve"> The utility shall also provide the historic test year information in the same</w:t>
      </w:r>
      <w:r w:rsidR="00C35FD5">
        <w:rPr>
          <w:rFonts w:ascii="Arial" w:hAnsi="Arial" w:cs="Arial"/>
        </w:rPr>
        <w:t xml:space="preserve"> manner and </w:t>
      </w:r>
      <w:r w:rsidR="00083CB7">
        <w:rPr>
          <w:rFonts w:ascii="Arial" w:hAnsi="Arial" w:cs="Arial"/>
        </w:rPr>
        <w:t xml:space="preserve">format </w:t>
      </w:r>
      <w:r w:rsidR="005A3755">
        <w:rPr>
          <w:rFonts w:ascii="Arial" w:hAnsi="Arial" w:cs="Arial"/>
        </w:rPr>
        <w:t>as the projected test year</w:t>
      </w:r>
      <w:r w:rsidR="00C35FD5">
        <w:rPr>
          <w:rFonts w:ascii="Arial" w:hAnsi="Arial" w:cs="Arial"/>
        </w:rPr>
        <w:t xml:space="preserve"> information</w:t>
      </w:r>
      <w:r w:rsidR="005A3755">
        <w:rPr>
          <w:rFonts w:ascii="Arial" w:hAnsi="Arial" w:cs="Arial"/>
        </w:rPr>
        <w:t xml:space="preserve"> outlined </w:t>
      </w:r>
      <w:r w:rsidR="003731F3">
        <w:rPr>
          <w:rFonts w:ascii="Arial" w:hAnsi="Arial" w:cs="Arial"/>
        </w:rPr>
        <w:t>below (see Exhibits and Schedules)</w:t>
      </w:r>
      <w:r w:rsidR="00083CB7">
        <w:rPr>
          <w:rFonts w:ascii="Arial" w:hAnsi="Arial" w:cs="Arial"/>
        </w:rPr>
        <w:t>.</w:t>
      </w:r>
    </w:p>
    <w:p w14:paraId="7F5740FA" w14:textId="77777777" w:rsidR="00F823D8" w:rsidRPr="00295012" w:rsidRDefault="00F823D8" w:rsidP="00F823D8">
      <w:pPr>
        <w:spacing w:after="0" w:line="240" w:lineRule="auto"/>
        <w:rPr>
          <w:rFonts w:ascii="Arial" w:hAnsi="Arial" w:cs="Arial"/>
        </w:rPr>
      </w:pPr>
    </w:p>
    <w:p w14:paraId="5164BB4B" w14:textId="3C134863" w:rsidR="00EA0BF6" w:rsidRPr="00295012" w:rsidRDefault="00EA0BF6" w:rsidP="00F823D8">
      <w:pPr>
        <w:spacing w:after="0" w:line="240" w:lineRule="auto"/>
        <w:rPr>
          <w:rFonts w:ascii="Arial" w:hAnsi="Arial" w:cs="Arial"/>
        </w:rPr>
      </w:pPr>
      <w:r w:rsidRPr="00295012">
        <w:rPr>
          <w:rFonts w:ascii="Arial" w:hAnsi="Arial" w:cs="Arial"/>
        </w:rPr>
        <w:t>The exhibits shall include the formulas that explain the relationship among the exhibit rows and columns.</w:t>
      </w:r>
    </w:p>
    <w:p w14:paraId="20720B7B" w14:textId="77777777" w:rsidR="00F823D8" w:rsidRPr="00295012" w:rsidRDefault="00F823D8" w:rsidP="00F823D8">
      <w:pPr>
        <w:spacing w:after="0" w:line="240" w:lineRule="auto"/>
        <w:rPr>
          <w:rFonts w:ascii="Arial" w:hAnsi="Arial" w:cs="Arial"/>
        </w:rPr>
      </w:pPr>
    </w:p>
    <w:p w14:paraId="522F425A" w14:textId="791B54C0" w:rsidR="00EA0BF6" w:rsidRPr="00295012" w:rsidRDefault="00EA0BF6" w:rsidP="00F823D8">
      <w:pPr>
        <w:spacing w:after="0" w:line="240" w:lineRule="auto"/>
        <w:rPr>
          <w:rFonts w:ascii="Arial" w:hAnsi="Arial" w:cs="Arial"/>
        </w:rPr>
      </w:pPr>
      <w:r w:rsidRPr="005A3755">
        <w:rPr>
          <w:rFonts w:ascii="Arial" w:hAnsi="Arial" w:cs="Arial"/>
        </w:rPr>
        <w:t>At the time of filing,</w:t>
      </w:r>
      <w:r w:rsidR="005A3755">
        <w:rPr>
          <w:rFonts w:ascii="Arial" w:hAnsi="Arial" w:cs="Arial"/>
        </w:rPr>
        <w:t xml:space="preserve"> </w:t>
      </w:r>
      <w:r w:rsidRPr="00295012">
        <w:rPr>
          <w:rFonts w:ascii="Arial" w:hAnsi="Arial" w:cs="Arial"/>
        </w:rPr>
        <w:t xml:space="preserve">the utility shall provide notice of the filing to all parties to the preceding general </w:t>
      </w:r>
      <w:r w:rsidR="000658D2" w:rsidRPr="00295012">
        <w:rPr>
          <w:rFonts w:ascii="Arial" w:hAnsi="Arial" w:cs="Arial"/>
        </w:rPr>
        <w:t>rate case of the applicant, and shall promptly provide a copy of the filing upon request.</w:t>
      </w:r>
    </w:p>
    <w:p w14:paraId="7A115A46" w14:textId="77777777" w:rsidR="00F823D8" w:rsidRPr="00295012" w:rsidRDefault="00F823D8" w:rsidP="00F823D8">
      <w:pPr>
        <w:spacing w:after="0" w:line="240" w:lineRule="auto"/>
        <w:rPr>
          <w:rFonts w:ascii="Arial" w:hAnsi="Arial" w:cs="Arial"/>
        </w:rPr>
      </w:pPr>
    </w:p>
    <w:p w14:paraId="06C118A2" w14:textId="77777777" w:rsidR="000658D2" w:rsidRPr="00BB2B8F" w:rsidRDefault="000658D2" w:rsidP="00F823D8">
      <w:pPr>
        <w:spacing w:after="0" w:line="240" w:lineRule="auto"/>
        <w:rPr>
          <w:rFonts w:ascii="Arial" w:hAnsi="Arial" w:cs="Arial"/>
          <w:b/>
          <w:u w:val="single"/>
        </w:rPr>
      </w:pPr>
      <w:r w:rsidRPr="00BB2B8F">
        <w:rPr>
          <w:rFonts w:ascii="Arial" w:hAnsi="Arial" w:cs="Arial"/>
          <w:b/>
          <w:u w:val="single"/>
        </w:rPr>
        <w:t>Part I</w:t>
      </w:r>
    </w:p>
    <w:p w14:paraId="38DAB33A" w14:textId="77777777" w:rsidR="00F823D8" w:rsidRPr="00295012" w:rsidRDefault="00F823D8" w:rsidP="00F823D8">
      <w:pPr>
        <w:spacing w:after="0" w:line="240" w:lineRule="auto"/>
        <w:rPr>
          <w:rFonts w:ascii="Arial" w:hAnsi="Arial" w:cs="Arial"/>
          <w:u w:val="single"/>
        </w:rPr>
      </w:pPr>
    </w:p>
    <w:p w14:paraId="391A90A3" w14:textId="09587DB3" w:rsidR="000658D2" w:rsidRPr="00295012" w:rsidRDefault="000658D2" w:rsidP="00F823D8">
      <w:pPr>
        <w:spacing w:after="0" w:line="240" w:lineRule="auto"/>
        <w:rPr>
          <w:rFonts w:ascii="Arial" w:hAnsi="Arial" w:cs="Arial"/>
          <w:u w:val="single"/>
        </w:rPr>
      </w:pPr>
      <w:r w:rsidRPr="00295012">
        <w:rPr>
          <w:rFonts w:ascii="Arial" w:hAnsi="Arial" w:cs="Arial"/>
          <w:u w:val="single"/>
        </w:rPr>
        <w:t>Schedule A-1</w:t>
      </w:r>
      <w:r w:rsidR="00233391">
        <w:rPr>
          <w:rFonts w:ascii="Arial" w:hAnsi="Arial" w:cs="Arial"/>
          <w:u w:val="single"/>
        </w:rPr>
        <w:t xml:space="preserve"> and A-2</w:t>
      </w:r>
    </w:p>
    <w:p w14:paraId="4B2B8B84" w14:textId="77777777" w:rsidR="00F823D8" w:rsidRPr="00295012" w:rsidRDefault="00F823D8" w:rsidP="00F823D8">
      <w:pPr>
        <w:spacing w:after="0" w:line="240" w:lineRule="auto"/>
        <w:rPr>
          <w:rFonts w:ascii="Arial" w:hAnsi="Arial" w:cs="Arial"/>
          <w:u w:val="single"/>
        </w:rPr>
      </w:pPr>
    </w:p>
    <w:p w14:paraId="22DAF26D" w14:textId="2F57BB95" w:rsidR="00233391" w:rsidRDefault="000658D2" w:rsidP="00F823D8">
      <w:pPr>
        <w:spacing w:after="0" w:line="240" w:lineRule="auto"/>
        <w:rPr>
          <w:rFonts w:ascii="Arial" w:hAnsi="Arial" w:cs="Arial"/>
          <w:u w:val="single"/>
        </w:rPr>
      </w:pPr>
      <w:r w:rsidRPr="00295012">
        <w:rPr>
          <w:rFonts w:ascii="Arial" w:hAnsi="Arial" w:cs="Arial"/>
          <w:u w:val="single"/>
        </w:rPr>
        <w:t>A-1 Projected Revenue Deficiency</w:t>
      </w:r>
    </w:p>
    <w:p w14:paraId="609419AC" w14:textId="320B055A" w:rsidR="000658D2" w:rsidRDefault="00233391" w:rsidP="00F823D8">
      <w:pPr>
        <w:spacing w:after="0" w:line="240" w:lineRule="auto"/>
        <w:rPr>
          <w:rFonts w:ascii="Arial" w:hAnsi="Arial" w:cs="Arial"/>
          <w:u w:val="single"/>
        </w:rPr>
      </w:pPr>
      <w:r>
        <w:rPr>
          <w:rFonts w:ascii="Arial" w:hAnsi="Arial" w:cs="Arial"/>
          <w:u w:val="single"/>
        </w:rPr>
        <w:lastRenderedPageBreak/>
        <w:t>A-2 Projected Financial Metrics</w:t>
      </w:r>
    </w:p>
    <w:p w14:paraId="2CA9C9B5" w14:textId="77777777" w:rsidR="00295012" w:rsidRPr="00295012" w:rsidRDefault="00295012" w:rsidP="00F823D8">
      <w:pPr>
        <w:spacing w:after="0" w:line="240" w:lineRule="auto"/>
        <w:rPr>
          <w:rFonts w:ascii="Arial" w:hAnsi="Arial" w:cs="Arial"/>
          <w:u w:val="single"/>
        </w:rPr>
      </w:pPr>
    </w:p>
    <w:p w14:paraId="44AFB44D" w14:textId="6BD921B0" w:rsidR="00F823D8" w:rsidRDefault="000658D2" w:rsidP="00F823D8">
      <w:pPr>
        <w:spacing w:after="0" w:line="240" w:lineRule="auto"/>
        <w:rPr>
          <w:rFonts w:ascii="Arial" w:hAnsi="Arial" w:cs="Arial"/>
        </w:rPr>
      </w:pPr>
      <w:r w:rsidRPr="00295012">
        <w:rPr>
          <w:rFonts w:ascii="Arial" w:hAnsi="Arial" w:cs="Arial"/>
        </w:rPr>
        <w:t>The projected revenue deficiency (sufficiency) is determined based on information supplied in Schedules B, C, D and E. Utilities providing service in more than one jurisdiction shall identify the MPSC jurisdictional amounts on schedules A, B and C based on the jurisdictional separation determined in Schedule F-1.</w:t>
      </w:r>
    </w:p>
    <w:p w14:paraId="03EE4E88" w14:textId="77777777" w:rsidR="00C74C82" w:rsidRDefault="00C74C82" w:rsidP="00F823D8">
      <w:pPr>
        <w:spacing w:after="0" w:line="240" w:lineRule="auto"/>
        <w:rPr>
          <w:rFonts w:ascii="Arial" w:hAnsi="Arial" w:cs="Arial"/>
        </w:rPr>
      </w:pPr>
    </w:p>
    <w:p w14:paraId="059A90D5" w14:textId="77777777" w:rsidR="0030579C" w:rsidRPr="00295012" w:rsidRDefault="0030579C" w:rsidP="00F823D8">
      <w:pPr>
        <w:spacing w:after="0" w:line="240" w:lineRule="auto"/>
        <w:rPr>
          <w:rFonts w:ascii="Arial" w:hAnsi="Arial" w:cs="Arial"/>
        </w:rPr>
      </w:pPr>
    </w:p>
    <w:p w14:paraId="15B2DD66" w14:textId="3602E89D" w:rsidR="000658D2" w:rsidRPr="00295012" w:rsidRDefault="00716C61" w:rsidP="00F823D8">
      <w:pPr>
        <w:spacing w:after="0" w:line="240" w:lineRule="auto"/>
        <w:rPr>
          <w:rFonts w:ascii="Arial" w:hAnsi="Arial" w:cs="Arial"/>
          <w:u w:val="single"/>
        </w:rPr>
      </w:pPr>
      <w:r>
        <w:rPr>
          <w:rFonts w:ascii="Arial" w:hAnsi="Arial" w:cs="Arial"/>
          <w:u w:val="single"/>
        </w:rPr>
        <w:t>Schedules B-1, B-2, B-3, B</w:t>
      </w:r>
      <w:r w:rsidR="000658D2" w:rsidRPr="00295012">
        <w:rPr>
          <w:rFonts w:ascii="Arial" w:hAnsi="Arial" w:cs="Arial"/>
          <w:u w:val="single"/>
        </w:rPr>
        <w:t>-4</w:t>
      </w:r>
      <w:r>
        <w:rPr>
          <w:rFonts w:ascii="Arial" w:hAnsi="Arial" w:cs="Arial"/>
          <w:u w:val="single"/>
        </w:rPr>
        <w:t>, and B-5</w:t>
      </w:r>
    </w:p>
    <w:p w14:paraId="09E4575E" w14:textId="77777777" w:rsidR="00F823D8" w:rsidRPr="00295012" w:rsidRDefault="00F823D8" w:rsidP="00F823D8">
      <w:pPr>
        <w:spacing w:after="0" w:line="240" w:lineRule="auto"/>
        <w:rPr>
          <w:rFonts w:ascii="Arial" w:hAnsi="Arial" w:cs="Arial"/>
          <w:u w:val="single"/>
        </w:rPr>
      </w:pPr>
    </w:p>
    <w:p w14:paraId="17F8654D"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B-1 Projected Rate Base</w:t>
      </w:r>
    </w:p>
    <w:p w14:paraId="2F52FEA2"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B-2 Projected Utility Plant</w:t>
      </w:r>
    </w:p>
    <w:p w14:paraId="1DFF6784"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B-3 Projected Accumulated Provision for Depreciation</w:t>
      </w:r>
    </w:p>
    <w:p w14:paraId="6A33048C" w14:textId="77777777" w:rsidR="000658D2" w:rsidRDefault="000658D2" w:rsidP="00F823D8">
      <w:pPr>
        <w:spacing w:after="0" w:line="240" w:lineRule="auto"/>
        <w:rPr>
          <w:rFonts w:ascii="Arial" w:hAnsi="Arial" w:cs="Arial"/>
          <w:u w:val="single"/>
        </w:rPr>
      </w:pPr>
      <w:r w:rsidRPr="00295012">
        <w:rPr>
          <w:rFonts w:ascii="Arial" w:hAnsi="Arial" w:cs="Arial"/>
          <w:u w:val="single"/>
        </w:rPr>
        <w:t>B-4 Projected Working Capital</w:t>
      </w:r>
    </w:p>
    <w:p w14:paraId="7D71B8CE" w14:textId="28A2A61B" w:rsidR="00716C61" w:rsidRPr="00295012" w:rsidRDefault="00716C61" w:rsidP="00F823D8">
      <w:pPr>
        <w:spacing w:after="0" w:line="240" w:lineRule="auto"/>
        <w:rPr>
          <w:rFonts w:ascii="Arial" w:hAnsi="Arial" w:cs="Arial"/>
          <w:u w:val="single"/>
        </w:rPr>
      </w:pPr>
      <w:r>
        <w:rPr>
          <w:rFonts w:ascii="Arial" w:hAnsi="Arial" w:cs="Arial"/>
          <w:u w:val="single"/>
        </w:rPr>
        <w:t>B-5 Projected Capital Expenditure Summary and Supporting Exhibits</w:t>
      </w:r>
    </w:p>
    <w:p w14:paraId="424267A5" w14:textId="77777777" w:rsidR="00F823D8" w:rsidRPr="00295012" w:rsidRDefault="00F823D8" w:rsidP="00F823D8">
      <w:pPr>
        <w:spacing w:after="0" w:line="240" w:lineRule="auto"/>
        <w:rPr>
          <w:rFonts w:ascii="Arial" w:hAnsi="Arial" w:cs="Arial"/>
        </w:rPr>
      </w:pPr>
    </w:p>
    <w:p w14:paraId="6BE1F079" w14:textId="022012E4" w:rsidR="00716C61" w:rsidRDefault="000658D2" w:rsidP="00F823D8">
      <w:pPr>
        <w:spacing w:after="0" w:line="240" w:lineRule="auto"/>
        <w:rPr>
          <w:rFonts w:ascii="Arial" w:hAnsi="Arial" w:cs="Arial"/>
        </w:rPr>
      </w:pPr>
      <w:r w:rsidRPr="00295012">
        <w:rPr>
          <w:rFonts w:ascii="Arial" w:hAnsi="Arial" w:cs="Arial"/>
        </w:rPr>
        <w:t>The amounts included for plant in service, plant held for future use, construction work in progress, and accumulated depreciation reserve must reflect all retirements, all capital expenditures, and book depreciation expense expected to occur by the end of the projected future 12-month period.</w:t>
      </w:r>
    </w:p>
    <w:p w14:paraId="088EF74B" w14:textId="432B36CB" w:rsidR="000658D2" w:rsidRPr="00295012" w:rsidRDefault="000658D2" w:rsidP="00F823D8">
      <w:pPr>
        <w:spacing w:after="0" w:line="240" w:lineRule="auto"/>
        <w:rPr>
          <w:rFonts w:ascii="Arial" w:hAnsi="Arial" w:cs="Arial"/>
        </w:rPr>
      </w:pPr>
      <w:r w:rsidRPr="00295012">
        <w:rPr>
          <w:rFonts w:ascii="Arial" w:hAnsi="Arial" w:cs="Arial"/>
        </w:rPr>
        <w:t xml:space="preserve">  </w:t>
      </w:r>
    </w:p>
    <w:p w14:paraId="6FB19D42" w14:textId="77777777" w:rsidR="00F823D8" w:rsidRPr="00295012" w:rsidRDefault="00F823D8" w:rsidP="00F823D8">
      <w:pPr>
        <w:spacing w:after="0" w:line="240" w:lineRule="auto"/>
        <w:rPr>
          <w:rFonts w:ascii="Arial" w:hAnsi="Arial" w:cs="Arial"/>
        </w:rPr>
      </w:pPr>
    </w:p>
    <w:p w14:paraId="0BEAE2D8"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Schedules C-1 through C-11</w:t>
      </w:r>
    </w:p>
    <w:p w14:paraId="4D0D214E" w14:textId="77777777" w:rsidR="00F823D8" w:rsidRPr="00295012" w:rsidRDefault="00F823D8" w:rsidP="00F823D8">
      <w:pPr>
        <w:spacing w:after="0" w:line="240" w:lineRule="auto"/>
        <w:rPr>
          <w:rFonts w:ascii="Arial" w:hAnsi="Arial" w:cs="Arial"/>
          <w:u w:val="single"/>
        </w:rPr>
      </w:pPr>
    </w:p>
    <w:p w14:paraId="0BC386F4"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C-1 Projected Net Operating Income</w:t>
      </w:r>
    </w:p>
    <w:p w14:paraId="671CFB68"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C-2 Revenue Conversion Factor</w:t>
      </w:r>
    </w:p>
    <w:p w14:paraId="5DE5AA88"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C-3 Projected Sales Revenue</w:t>
      </w:r>
    </w:p>
    <w:p w14:paraId="4ECC16DF"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C-4 Projected Fuel and Purchased Power (or Cost of Gas Sold)</w:t>
      </w:r>
    </w:p>
    <w:p w14:paraId="06963F55"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C-5 Projected Operating and Maintenance Expenses</w:t>
      </w:r>
    </w:p>
    <w:p w14:paraId="4D085CF2"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C-6 Projected Depreciation and Amortization Expenses</w:t>
      </w:r>
    </w:p>
    <w:p w14:paraId="54E28B2D"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C-7 Projected General Taxes</w:t>
      </w:r>
    </w:p>
    <w:p w14:paraId="12022055"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C-8 Projected Federal Income Taxes</w:t>
      </w:r>
    </w:p>
    <w:p w14:paraId="769F0E54"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C-9 Projected State Income Taxes</w:t>
      </w:r>
    </w:p>
    <w:p w14:paraId="4EF5A839"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C-10 Projected Other (or Local) Taxes</w:t>
      </w:r>
    </w:p>
    <w:p w14:paraId="4143685A" w14:textId="77777777" w:rsidR="000658D2" w:rsidRPr="00295012" w:rsidRDefault="000658D2" w:rsidP="00F823D8">
      <w:pPr>
        <w:spacing w:after="0" w:line="240" w:lineRule="auto"/>
        <w:rPr>
          <w:rFonts w:ascii="Arial" w:hAnsi="Arial" w:cs="Arial"/>
          <w:u w:val="single"/>
        </w:rPr>
      </w:pPr>
      <w:r w:rsidRPr="00295012">
        <w:rPr>
          <w:rFonts w:ascii="Arial" w:hAnsi="Arial" w:cs="Arial"/>
          <w:u w:val="single"/>
        </w:rPr>
        <w:t>C-11 Projected Allowance for Funds Used During Construction</w:t>
      </w:r>
    </w:p>
    <w:p w14:paraId="52070FC6" w14:textId="77777777" w:rsidR="00F823D8" w:rsidRPr="00295012" w:rsidRDefault="00F823D8" w:rsidP="00F823D8">
      <w:pPr>
        <w:spacing w:after="0" w:line="240" w:lineRule="auto"/>
        <w:rPr>
          <w:rFonts w:ascii="Arial" w:hAnsi="Arial" w:cs="Arial"/>
          <w:u w:val="single"/>
        </w:rPr>
      </w:pPr>
    </w:p>
    <w:p w14:paraId="73F4F8EA" w14:textId="77777777" w:rsidR="000658D2" w:rsidRDefault="000658D2" w:rsidP="00F823D8">
      <w:pPr>
        <w:spacing w:after="0" w:line="240" w:lineRule="auto"/>
        <w:rPr>
          <w:rFonts w:ascii="Arial" w:hAnsi="Arial" w:cs="Arial"/>
        </w:rPr>
      </w:pPr>
      <w:r w:rsidRPr="00295012">
        <w:rPr>
          <w:rFonts w:ascii="Arial" w:hAnsi="Arial" w:cs="Arial"/>
        </w:rPr>
        <w:t>Operating revenues and expenses must reflect the revenues and expenses that the utility expects to experience during the projected future 12-month period.</w:t>
      </w:r>
    </w:p>
    <w:p w14:paraId="701BBC60" w14:textId="77777777" w:rsidR="00BB2B8F" w:rsidRPr="00295012" w:rsidRDefault="00BB2B8F" w:rsidP="00F823D8">
      <w:pPr>
        <w:spacing w:after="0" w:line="240" w:lineRule="auto"/>
        <w:rPr>
          <w:rFonts w:ascii="Arial" w:hAnsi="Arial" w:cs="Arial"/>
        </w:rPr>
      </w:pPr>
    </w:p>
    <w:p w14:paraId="17FE2EFB" w14:textId="684778F7" w:rsidR="000658D2" w:rsidRPr="00295012" w:rsidRDefault="000658D2" w:rsidP="00F823D8">
      <w:pPr>
        <w:spacing w:after="0" w:line="240" w:lineRule="auto"/>
        <w:rPr>
          <w:rFonts w:ascii="Arial" w:hAnsi="Arial" w:cs="Arial"/>
        </w:rPr>
      </w:pPr>
      <w:r w:rsidRPr="00295012">
        <w:rPr>
          <w:rFonts w:ascii="Arial" w:hAnsi="Arial" w:cs="Arial"/>
        </w:rPr>
        <w:t xml:space="preserve">Significant changes in individual operating revenue or expense items for the projected future period from those included in the historical information provided in Part III must be </w:t>
      </w:r>
      <w:r w:rsidR="00533D7C" w:rsidRPr="00295012">
        <w:rPr>
          <w:rFonts w:ascii="Arial" w:hAnsi="Arial" w:cs="Arial"/>
        </w:rPr>
        <w:t xml:space="preserve">identified </w:t>
      </w:r>
      <w:r w:rsidR="00F65B12">
        <w:rPr>
          <w:rFonts w:ascii="Arial" w:hAnsi="Arial" w:cs="Arial"/>
        </w:rPr>
        <w:t xml:space="preserve">and explained in testimony </w:t>
      </w:r>
      <w:r w:rsidR="00533D7C" w:rsidRPr="00295012">
        <w:rPr>
          <w:rFonts w:ascii="Arial" w:hAnsi="Arial" w:cs="Arial"/>
        </w:rPr>
        <w:t xml:space="preserve">by the utility, and supporting data and justification must be supplied with respect to each </w:t>
      </w:r>
      <w:r w:rsidR="00F65B12">
        <w:rPr>
          <w:rFonts w:ascii="Arial" w:hAnsi="Arial" w:cs="Arial"/>
        </w:rPr>
        <w:t xml:space="preserve">revenue and expense </w:t>
      </w:r>
      <w:r w:rsidR="00533D7C" w:rsidRPr="00295012">
        <w:rPr>
          <w:rFonts w:ascii="Arial" w:hAnsi="Arial" w:cs="Arial"/>
        </w:rPr>
        <w:t>item.</w:t>
      </w:r>
    </w:p>
    <w:p w14:paraId="45D7A027" w14:textId="77777777" w:rsidR="00BB2B8F" w:rsidRDefault="00BB2B8F" w:rsidP="00F823D8">
      <w:pPr>
        <w:spacing w:after="0" w:line="240" w:lineRule="auto"/>
        <w:rPr>
          <w:rFonts w:ascii="Arial" w:hAnsi="Arial" w:cs="Arial"/>
        </w:rPr>
      </w:pPr>
    </w:p>
    <w:p w14:paraId="0D5D2456" w14:textId="6762A38F" w:rsidR="00533D7C" w:rsidRDefault="00533D7C" w:rsidP="00F823D8">
      <w:pPr>
        <w:spacing w:after="0" w:line="240" w:lineRule="auto"/>
        <w:rPr>
          <w:rFonts w:ascii="Arial" w:hAnsi="Arial" w:cs="Arial"/>
        </w:rPr>
      </w:pPr>
      <w:r w:rsidRPr="00295012">
        <w:rPr>
          <w:rFonts w:ascii="Arial" w:hAnsi="Arial" w:cs="Arial"/>
        </w:rPr>
        <w:t>The depreciation and amortization expense included in these schedules must reflect the depreciation rates approved at the time the utility makes its filing, and those rates must be applied to the plant included in its filing.</w:t>
      </w:r>
      <w:r w:rsidR="00BB2B8F">
        <w:rPr>
          <w:rFonts w:ascii="Arial" w:hAnsi="Arial" w:cs="Arial"/>
        </w:rPr>
        <w:t xml:space="preserve">  If a utility files a concurrent depreciation case, or has a pending depreciation case at the time of rate case filing, then the utility shall provide a statement within its rate case filing describing the revenue requirement impact of its full depreciation case request.  </w:t>
      </w:r>
    </w:p>
    <w:p w14:paraId="73169ED1" w14:textId="77777777" w:rsidR="00BB2B8F" w:rsidRPr="00295012" w:rsidRDefault="00BB2B8F" w:rsidP="00F823D8">
      <w:pPr>
        <w:spacing w:after="0" w:line="240" w:lineRule="auto"/>
        <w:rPr>
          <w:rFonts w:ascii="Arial" w:hAnsi="Arial" w:cs="Arial"/>
        </w:rPr>
      </w:pPr>
    </w:p>
    <w:p w14:paraId="49479FDA" w14:textId="77777777" w:rsidR="00533D7C" w:rsidRDefault="00533D7C" w:rsidP="00F823D8">
      <w:pPr>
        <w:spacing w:after="0" w:line="240" w:lineRule="auto"/>
        <w:rPr>
          <w:rFonts w:ascii="Arial" w:hAnsi="Arial" w:cs="Arial"/>
        </w:rPr>
      </w:pPr>
      <w:r w:rsidRPr="00295012">
        <w:rPr>
          <w:rFonts w:ascii="Arial" w:hAnsi="Arial" w:cs="Arial"/>
        </w:rPr>
        <w:lastRenderedPageBreak/>
        <w:t>The tax rates used in preparing these schedules must reflect the tax rates that the utility anticipates will be in effect during the projected future 12-month period. If the utility uses tax rates different from those specified in the tax laws in effect at the time of the filing, the utility shall provide an explanation of and justification for all such differences.</w:t>
      </w:r>
    </w:p>
    <w:p w14:paraId="1669E4DC" w14:textId="77777777" w:rsidR="00212620" w:rsidRPr="00295012" w:rsidRDefault="00212620" w:rsidP="00F823D8">
      <w:pPr>
        <w:spacing w:after="0" w:line="240" w:lineRule="auto"/>
        <w:rPr>
          <w:rFonts w:ascii="Arial" w:hAnsi="Arial" w:cs="Arial"/>
        </w:rPr>
      </w:pPr>
    </w:p>
    <w:p w14:paraId="5BCC5944" w14:textId="77777777" w:rsidR="004751C9" w:rsidRPr="00295012" w:rsidRDefault="004751C9" w:rsidP="00F823D8">
      <w:pPr>
        <w:spacing w:after="0" w:line="240" w:lineRule="auto"/>
        <w:rPr>
          <w:rFonts w:ascii="Arial" w:hAnsi="Arial" w:cs="Arial"/>
        </w:rPr>
      </w:pPr>
    </w:p>
    <w:p w14:paraId="49897532" w14:textId="77777777" w:rsidR="00366D6C" w:rsidRPr="00295012" w:rsidRDefault="004A080D" w:rsidP="00F823D8">
      <w:pPr>
        <w:spacing w:after="0" w:line="240" w:lineRule="auto"/>
        <w:rPr>
          <w:rFonts w:ascii="Arial" w:hAnsi="Arial" w:cs="Arial"/>
          <w:u w:val="single"/>
        </w:rPr>
      </w:pPr>
      <w:r w:rsidRPr="00295012">
        <w:rPr>
          <w:rFonts w:ascii="Arial" w:hAnsi="Arial" w:cs="Arial"/>
          <w:u w:val="single"/>
        </w:rPr>
        <w:t>Schedules D-1, D-2, D-3, D-4 and D-5</w:t>
      </w:r>
    </w:p>
    <w:p w14:paraId="3961E3CB" w14:textId="77777777" w:rsidR="00F823D8" w:rsidRPr="00295012" w:rsidRDefault="00F823D8" w:rsidP="00F823D8">
      <w:pPr>
        <w:spacing w:after="0" w:line="240" w:lineRule="auto"/>
        <w:rPr>
          <w:rFonts w:ascii="Arial" w:hAnsi="Arial" w:cs="Arial"/>
          <w:u w:val="single"/>
        </w:rPr>
      </w:pPr>
    </w:p>
    <w:p w14:paraId="7B6CBA69" w14:textId="77777777" w:rsidR="004A080D" w:rsidRPr="00295012" w:rsidRDefault="004A080D" w:rsidP="00F823D8">
      <w:pPr>
        <w:spacing w:after="0" w:line="240" w:lineRule="auto"/>
        <w:rPr>
          <w:rFonts w:ascii="Arial" w:hAnsi="Arial" w:cs="Arial"/>
          <w:u w:val="single"/>
        </w:rPr>
      </w:pPr>
      <w:r w:rsidRPr="00295012">
        <w:rPr>
          <w:rFonts w:ascii="Arial" w:hAnsi="Arial" w:cs="Arial"/>
          <w:u w:val="single"/>
        </w:rPr>
        <w:t>D-1 Projected Rate of Return Summary</w:t>
      </w:r>
    </w:p>
    <w:p w14:paraId="15383BEB" w14:textId="77777777" w:rsidR="004A080D" w:rsidRPr="00295012" w:rsidRDefault="004A080D" w:rsidP="00F823D8">
      <w:pPr>
        <w:spacing w:after="0" w:line="240" w:lineRule="auto"/>
        <w:rPr>
          <w:rFonts w:ascii="Arial" w:hAnsi="Arial" w:cs="Arial"/>
          <w:u w:val="single"/>
        </w:rPr>
      </w:pPr>
      <w:r w:rsidRPr="00295012">
        <w:rPr>
          <w:rFonts w:ascii="Arial" w:hAnsi="Arial" w:cs="Arial"/>
          <w:u w:val="single"/>
        </w:rPr>
        <w:t>D-2 Cost of Long-Term Debt</w:t>
      </w:r>
    </w:p>
    <w:p w14:paraId="295F5DE5" w14:textId="77777777" w:rsidR="004A080D" w:rsidRPr="00295012" w:rsidRDefault="004A080D" w:rsidP="00F823D8">
      <w:pPr>
        <w:spacing w:after="0" w:line="240" w:lineRule="auto"/>
        <w:rPr>
          <w:rFonts w:ascii="Arial" w:hAnsi="Arial" w:cs="Arial"/>
          <w:u w:val="single"/>
        </w:rPr>
      </w:pPr>
      <w:r w:rsidRPr="00295012">
        <w:rPr>
          <w:rFonts w:ascii="Arial" w:hAnsi="Arial" w:cs="Arial"/>
          <w:u w:val="single"/>
        </w:rPr>
        <w:t>D-3 Cost of Short-Term Debt</w:t>
      </w:r>
    </w:p>
    <w:p w14:paraId="4AA1E485" w14:textId="77777777" w:rsidR="004A080D" w:rsidRPr="00295012" w:rsidRDefault="004A080D" w:rsidP="00F823D8">
      <w:pPr>
        <w:spacing w:after="0" w:line="240" w:lineRule="auto"/>
        <w:rPr>
          <w:rFonts w:ascii="Arial" w:hAnsi="Arial" w:cs="Arial"/>
          <w:u w:val="single"/>
        </w:rPr>
      </w:pPr>
      <w:r w:rsidRPr="00295012">
        <w:rPr>
          <w:rFonts w:ascii="Arial" w:hAnsi="Arial" w:cs="Arial"/>
          <w:u w:val="single"/>
        </w:rPr>
        <w:t>D-4 Cost of Preferred Stock</w:t>
      </w:r>
    </w:p>
    <w:p w14:paraId="3FC8A359" w14:textId="77777777" w:rsidR="004A080D" w:rsidRPr="00295012" w:rsidRDefault="004A080D" w:rsidP="00F823D8">
      <w:pPr>
        <w:spacing w:after="0" w:line="240" w:lineRule="auto"/>
        <w:rPr>
          <w:rFonts w:ascii="Arial" w:hAnsi="Arial" w:cs="Arial"/>
          <w:u w:val="single"/>
        </w:rPr>
      </w:pPr>
      <w:r w:rsidRPr="00295012">
        <w:rPr>
          <w:rFonts w:ascii="Arial" w:hAnsi="Arial" w:cs="Arial"/>
          <w:u w:val="single"/>
        </w:rPr>
        <w:t>D-5 Cost of Common Shareholders’ Equity</w:t>
      </w:r>
    </w:p>
    <w:p w14:paraId="0F2F6FCB" w14:textId="77777777" w:rsidR="00F823D8" w:rsidRPr="00295012" w:rsidRDefault="00F823D8" w:rsidP="00F823D8">
      <w:pPr>
        <w:spacing w:after="0" w:line="240" w:lineRule="auto"/>
        <w:rPr>
          <w:rFonts w:ascii="Arial" w:hAnsi="Arial" w:cs="Arial"/>
          <w:u w:val="single"/>
        </w:rPr>
      </w:pPr>
    </w:p>
    <w:p w14:paraId="29E065C9" w14:textId="77777777" w:rsidR="004A080D" w:rsidRPr="00295012" w:rsidRDefault="004A080D" w:rsidP="00F823D8">
      <w:pPr>
        <w:spacing w:after="0" w:line="240" w:lineRule="auto"/>
        <w:rPr>
          <w:rFonts w:ascii="Arial" w:hAnsi="Arial" w:cs="Arial"/>
        </w:rPr>
      </w:pPr>
      <w:r w:rsidRPr="00295012">
        <w:rPr>
          <w:rFonts w:ascii="Arial" w:hAnsi="Arial" w:cs="Arial"/>
        </w:rPr>
        <w:t>The utility must reflect all issuances of securities, equity infusions, retirements, redemptions, conversions, etc., that the utility expects to occur by the end of the projected future period.</w:t>
      </w:r>
    </w:p>
    <w:p w14:paraId="20AD9BD9" w14:textId="77777777" w:rsidR="00F823D8" w:rsidRPr="00295012" w:rsidRDefault="00F823D8" w:rsidP="00F823D8">
      <w:pPr>
        <w:spacing w:after="0" w:line="240" w:lineRule="auto"/>
        <w:rPr>
          <w:rFonts w:ascii="Arial" w:hAnsi="Arial" w:cs="Arial"/>
        </w:rPr>
      </w:pPr>
    </w:p>
    <w:p w14:paraId="3F40A6C7" w14:textId="77777777" w:rsidR="00F823D8" w:rsidRPr="00295012" w:rsidRDefault="00F823D8" w:rsidP="00F823D8">
      <w:pPr>
        <w:spacing w:after="0" w:line="240" w:lineRule="auto"/>
        <w:rPr>
          <w:rFonts w:ascii="Arial" w:hAnsi="Arial" w:cs="Arial"/>
        </w:rPr>
      </w:pPr>
    </w:p>
    <w:p w14:paraId="2E4AFD0E" w14:textId="77777777" w:rsidR="004A080D" w:rsidRPr="00295012" w:rsidRDefault="004A080D" w:rsidP="00F823D8">
      <w:pPr>
        <w:spacing w:after="0" w:line="240" w:lineRule="auto"/>
        <w:rPr>
          <w:rFonts w:ascii="Arial" w:hAnsi="Arial" w:cs="Arial"/>
          <w:u w:val="single"/>
        </w:rPr>
      </w:pPr>
      <w:r w:rsidRPr="00295012">
        <w:rPr>
          <w:rFonts w:ascii="Arial" w:hAnsi="Arial" w:cs="Arial"/>
          <w:u w:val="single"/>
        </w:rPr>
        <w:t>Schedule E-1</w:t>
      </w:r>
    </w:p>
    <w:p w14:paraId="0DDAD6FC" w14:textId="77777777" w:rsidR="00F823D8" w:rsidRPr="00295012" w:rsidRDefault="00F823D8" w:rsidP="00F823D8">
      <w:pPr>
        <w:spacing w:after="0" w:line="240" w:lineRule="auto"/>
        <w:rPr>
          <w:rFonts w:ascii="Arial" w:hAnsi="Arial" w:cs="Arial"/>
          <w:u w:val="single"/>
        </w:rPr>
      </w:pPr>
    </w:p>
    <w:p w14:paraId="1F762D4F" w14:textId="77777777" w:rsidR="004A080D" w:rsidRPr="00295012" w:rsidRDefault="004A080D" w:rsidP="00F823D8">
      <w:pPr>
        <w:spacing w:after="0" w:line="240" w:lineRule="auto"/>
        <w:rPr>
          <w:rFonts w:ascii="Arial" w:hAnsi="Arial" w:cs="Arial"/>
          <w:u w:val="single"/>
        </w:rPr>
      </w:pPr>
      <w:r w:rsidRPr="00295012">
        <w:rPr>
          <w:rFonts w:ascii="Arial" w:hAnsi="Arial" w:cs="Arial"/>
          <w:u w:val="single"/>
        </w:rPr>
        <w:t>E-1 Sales, Load and Customer Data</w:t>
      </w:r>
    </w:p>
    <w:p w14:paraId="13B4E62D" w14:textId="77777777" w:rsidR="004A080D" w:rsidRPr="00295012" w:rsidRDefault="004A080D" w:rsidP="00A61702">
      <w:pPr>
        <w:spacing w:before="120" w:after="0" w:line="240" w:lineRule="auto"/>
        <w:rPr>
          <w:rFonts w:ascii="Arial" w:hAnsi="Arial" w:cs="Arial"/>
        </w:rPr>
      </w:pPr>
      <w:r w:rsidRPr="00295012">
        <w:rPr>
          <w:rFonts w:ascii="Arial" w:hAnsi="Arial" w:cs="Arial"/>
        </w:rPr>
        <w:t xml:space="preserve">Sales levels for the projected future 12-month period must reflect reasonably anticipated market and economic conditions the utility expects to influence sales during that period. </w:t>
      </w:r>
      <w:r w:rsidR="0019298C" w:rsidRPr="00295012">
        <w:rPr>
          <w:rFonts w:ascii="Arial" w:hAnsi="Arial" w:cs="Arial"/>
        </w:rPr>
        <w:t xml:space="preserve">Such sales levels must also reflect the impact of reasonably anticipated energy conservation and efficiency programs for the projected future period. The projected sales levels must be weather-normalized </w:t>
      </w:r>
      <w:r w:rsidR="004751C9" w:rsidRPr="00295012">
        <w:rPr>
          <w:rFonts w:ascii="Arial" w:hAnsi="Arial" w:cs="Arial"/>
        </w:rPr>
        <w:t>utilizing the weather-normalization method adopted by the Commission in the most recent general rate case for the utility; however, the utility may, in addition, propose the use of any other weather-normalization method for which the utility presents information supporting the conclusion that such alternative method is more likely to predict actual sales during the future period.</w:t>
      </w:r>
    </w:p>
    <w:p w14:paraId="1DEF01D9" w14:textId="77777777" w:rsidR="00F823D8" w:rsidRPr="00295012" w:rsidRDefault="00F823D8" w:rsidP="00F823D8">
      <w:pPr>
        <w:spacing w:after="0" w:line="240" w:lineRule="auto"/>
        <w:rPr>
          <w:rFonts w:ascii="Arial" w:hAnsi="Arial" w:cs="Arial"/>
        </w:rPr>
      </w:pPr>
    </w:p>
    <w:p w14:paraId="7526AFD4" w14:textId="77777777" w:rsidR="004751C9" w:rsidRPr="00295012" w:rsidRDefault="004751C9" w:rsidP="00F823D8">
      <w:pPr>
        <w:spacing w:after="0" w:line="240" w:lineRule="auto"/>
        <w:rPr>
          <w:rFonts w:ascii="Arial" w:hAnsi="Arial" w:cs="Arial"/>
          <w:u w:val="single"/>
        </w:rPr>
      </w:pPr>
      <w:r w:rsidRPr="00295012">
        <w:rPr>
          <w:rFonts w:ascii="Arial" w:hAnsi="Arial" w:cs="Arial"/>
          <w:u w:val="single"/>
        </w:rPr>
        <w:t>Schedules F-1, F-2, F-3, F-4 and F-5</w:t>
      </w:r>
    </w:p>
    <w:p w14:paraId="68345B96" w14:textId="77777777" w:rsidR="00F823D8" w:rsidRPr="00295012" w:rsidRDefault="00F823D8" w:rsidP="00F823D8">
      <w:pPr>
        <w:spacing w:after="0" w:line="240" w:lineRule="auto"/>
        <w:rPr>
          <w:rFonts w:ascii="Arial" w:hAnsi="Arial" w:cs="Arial"/>
          <w:u w:val="single"/>
        </w:rPr>
      </w:pPr>
    </w:p>
    <w:p w14:paraId="3BAA8832" w14:textId="77777777" w:rsidR="004751C9" w:rsidRPr="00295012" w:rsidRDefault="004751C9" w:rsidP="00F823D8">
      <w:pPr>
        <w:spacing w:after="0" w:line="240" w:lineRule="auto"/>
        <w:rPr>
          <w:rFonts w:ascii="Arial" w:hAnsi="Arial" w:cs="Arial"/>
          <w:u w:val="single"/>
        </w:rPr>
      </w:pPr>
      <w:r w:rsidRPr="00295012">
        <w:rPr>
          <w:rFonts w:ascii="Arial" w:hAnsi="Arial" w:cs="Arial"/>
          <w:u w:val="single"/>
        </w:rPr>
        <w:t>F-1 Projected Cost of Service Allocation Study</w:t>
      </w:r>
    </w:p>
    <w:p w14:paraId="1837C5ED" w14:textId="77777777" w:rsidR="004751C9" w:rsidRPr="00295012" w:rsidRDefault="004751C9" w:rsidP="00F823D8">
      <w:pPr>
        <w:spacing w:after="0" w:line="240" w:lineRule="auto"/>
        <w:rPr>
          <w:rFonts w:ascii="Arial" w:hAnsi="Arial" w:cs="Arial"/>
          <w:u w:val="single"/>
        </w:rPr>
      </w:pPr>
      <w:r w:rsidRPr="00295012">
        <w:rPr>
          <w:rFonts w:ascii="Arial" w:hAnsi="Arial" w:cs="Arial"/>
          <w:u w:val="single"/>
        </w:rPr>
        <w:t>F-2 Summary of Present and Proposed Revenues</w:t>
      </w:r>
    </w:p>
    <w:p w14:paraId="2EB0CDD2" w14:textId="77777777" w:rsidR="004751C9" w:rsidRPr="00295012" w:rsidRDefault="004751C9" w:rsidP="00F823D8">
      <w:pPr>
        <w:spacing w:after="0" w:line="240" w:lineRule="auto"/>
        <w:rPr>
          <w:rFonts w:ascii="Arial" w:hAnsi="Arial" w:cs="Arial"/>
          <w:u w:val="single"/>
        </w:rPr>
      </w:pPr>
      <w:r w:rsidRPr="00295012">
        <w:rPr>
          <w:rFonts w:ascii="Arial" w:hAnsi="Arial" w:cs="Arial"/>
          <w:u w:val="single"/>
        </w:rPr>
        <w:t>F-3 Detail of Present and Proposed Revenues</w:t>
      </w:r>
    </w:p>
    <w:p w14:paraId="4FD4B805" w14:textId="77777777" w:rsidR="004751C9" w:rsidRPr="00295012" w:rsidRDefault="004751C9" w:rsidP="00F823D8">
      <w:pPr>
        <w:spacing w:after="0" w:line="240" w:lineRule="auto"/>
        <w:rPr>
          <w:rFonts w:ascii="Arial" w:hAnsi="Arial" w:cs="Arial"/>
          <w:u w:val="single"/>
        </w:rPr>
      </w:pPr>
      <w:r w:rsidRPr="00295012">
        <w:rPr>
          <w:rFonts w:ascii="Arial" w:hAnsi="Arial" w:cs="Arial"/>
          <w:u w:val="single"/>
        </w:rPr>
        <w:t>F-4 Comparison of Present and Proposed Monthly Bills</w:t>
      </w:r>
    </w:p>
    <w:p w14:paraId="2EA483A4" w14:textId="77777777" w:rsidR="004751C9" w:rsidRPr="00295012" w:rsidRDefault="004751C9" w:rsidP="00F823D8">
      <w:pPr>
        <w:spacing w:after="0" w:line="240" w:lineRule="auto"/>
        <w:rPr>
          <w:rFonts w:ascii="Arial" w:hAnsi="Arial" w:cs="Arial"/>
          <w:u w:val="single"/>
        </w:rPr>
      </w:pPr>
      <w:r w:rsidRPr="00295012">
        <w:rPr>
          <w:rFonts w:ascii="Arial" w:hAnsi="Arial" w:cs="Arial"/>
          <w:u w:val="single"/>
        </w:rPr>
        <w:t>F-5 Proposed Tariff Sheets</w:t>
      </w:r>
    </w:p>
    <w:p w14:paraId="785AECA9" w14:textId="77777777" w:rsidR="00F823D8" w:rsidRPr="00295012" w:rsidRDefault="00F823D8" w:rsidP="00F823D8">
      <w:pPr>
        <w:spacing w:after="0" w:line="240" w:lineRule="auto"/>
        <w:rPr>
          <w:rFonts w:ascii="Arial" w:hAnsi="Arial" w:cs="Arial"/>
          <w:u w:val="single"/>
        </w:rPr>
      </w:pPr>
    </w:p>
    <w:p w14:paraId="5336178A" w14:textId="0CAD02A5" w:rsidR="00763EE9" w:rsidRPr="00295012" w:rsidRDefault="004751C9" w:rsidP="00F823D8">
      <w:pPr>
        <w:spacing w:after="0" w:line="240" w:lineRule="auto"/>
        <w:rPr>
          <w:rFonts w:ascii="Arial" w:hAnsi="Arial" w:cs="Arial"/>
        </w:rPr>
      </w:pPr>
      <w:r w:rsidRPr="00295012">
        <w:rPr>
          <w:rFonts w:ascii="Arial" w:hAnsi="Arial" w:cs="Arial"/>
        </w:rPr>
        <w:t xml:space="preserve">For utilities with more than 1,000,000 retail customers in Michigan, the electric cost of service allocation study must be prepared in conformance with </w:t>
      </w:r>
      <w:r w:rsidR="00763EE9" w:rsidRPr="00295012">
        <w:rPr>
          <w:rFonts w:ascii="Arial" w:hAnsi="Arial" w:cs="Arial"/>
        </w:rPr>
        <w:t>MCL 460.11. The study must reflect the allocation of (</w:t>
      </w:r>
      <w:proofErr w:type="spellStart"/>
      <w:r w:rsidR="00763EE9" w:rsidRPr="00295012">
        <w:rPr>
          <w:rFonts w:ascii="Arial" w:hAnsi="Arial" w:cs="Arial"/>
        </w:rPr>
        <w:t>i</w:t>
      </w:r>
      <w:proofErr w:type="spellEnd"/>
      <w:r w:rsidR="00763EE9" w:rsidRPr="00295012">
        <w:rPr>
          <w:rFonts w:ascii="Arial" w:hAnsi="Arial" w:cs="Arial"/>
        </w:rPr>
        <w:t>) production-related and transmission costs using the method of allocation</w:t>
      </w:r>
      <w:r w:rsidR="004B7DDB">
        <w:rPr>
          <w:rFonts w:ascii="Arial" w:hAnsi="Arial" w:cs="Arial"/>
        </w:rPr>
        <w:t xml:space="preserve"> described in MCL 460.11</w:t>
      </w:r>
      <w:r w:rsidR="00763EE9" w:rsidRPr="00295012">
        <w:rPr>
          <w:rFonts w:ascii="Arial" w:hAnsi="Arial" w:cs="Arial"/>
        </w:rPr>
        <w:t>, (ii) energy-related costs based on energy consumption, (iii) customer-related costs based on the number of customers, (iv) demand-related costs (other than production-related and transmission) based on the relativ</w:t>
      </w:r>
      <w:r w:rsidR="00C74C82">
        <w:rPr>
          <w:rFonts w:ascii="Arial" w:hAnsi="Arial" w:cs="Arial"/>
        </w:rPr>
        <w:t>e demands of customer classes.</w:t>
      </w:r>
    </w:p>
    <w:p w14:paraId="27C1F2D5" w14:textId="77777777" w:rsidR="00A61702" w:rsidRDefault="00A61702" w:rsidP="00F823D8">
      <w:pPr>
        <w:spacing w:after="0" w:line="240" w:lineRule="auto"/>
        <w:rPr>
          <w:rFonts w:ascii="Arial" w:hAnsi="Arial" w:cs="Arial"/>
        </w:rPr>
      </w:pPr>
    </w:p>
    <w:p w14:paraId="5D31E49E" w14:textId="77777777" w:rsidR="00763EE9" w:rsidRPr="00295012" w:rsidRDefault="00763EE9" w:rsidP="00F823D8">
      <w:pPr>
        <w:spacing w:after="0" w:line="240" w:lineRule="auto"/>
        <w:rPr>
          <w:rFonts w:ascii="Arial" w:hAnsi="Arial" w:cs="Arial"/>
        </w:rPr>
      </w:pPr>
      <w:r w:rsidRPr="00295012">
        <w:rPr>
          <w:rFonts w:ascii="Arial" w:hAnsi="Arial" w:cs="Arial"/>
        </w:rPr>
        <w:t>Summary of present and proposed revenue summarizes the effect on revenues of proposed rate changes including the percentage of increase/decrease by rate class.  Detail of present and proposed rates will reflect revenues by rate class based on present and proposed rates.  Each rate class will require a separate page.</w:t>
      </w:r>
    </w:p>
    <w:p w14:paraId="568DAD6B" w14:textId="77777777" w:rsidR="00A61702" w:rsidRDefault="00A61702" w:rsidP="00F823D8">
      <w:pPr>
        <w:spacing w:after="0" w:line="240" w:lineRule="auto"/>
        <w:rPr>
          <w:rFonts w:ascii="Arial" w:hAnsi="Arial" w:cs="Arial"/>
        </w:rPr>
      </w:pPr>
    </w:p>
    <w:p w14:paraId="5E1C7948" w14:textId="77777777" w:rsidR="00763EE9" w:rsidRDefault="00763EE9" w:rsidP="00F823D8">
      <w:pPr>
        <w:spacing w:after="0" w:line="240" w:lineRule="auto"/>
        <w:rPr>
          <w:rFonts w:ascii="Arial" w:hAnsi="Arial" w:cs="Arial"/>
        </w:rPr>
      </w:pPr>
      <w:r w:rsidRPr="00295012">
        <w:rPr>
          <w:rFonts w:ascii="Arial" w:hAnsi="Arial" w:cs="Arial"/>
        </w:rPr>
        <w:t>Comparison of present and proposed monthly bills will reflect revenues by rate class based on present and proposed rates at various usage increments. Each rate class will require a separate page.</w:t>
      </w:r>
    </w:p>
    <w:p w14:paraId="61AE823E" w14:textId="77777777" w:rsidR="00212620" w:rsidRPr="00295012" w:rsidRDefault="00212620" w:rsidP="00F823D8">
      <w:pPr>
        <w:spacing w:after="0" w:line="240" w:lineRule="auto"/>
        <w:rPr>
          <w:rFonts w:ascii="Arial" w:hAnsi="Arial" w:cs="Arial"/>
        </w:rPr>
      </w:pPr>
    </w:p>
    <w:p w14:paraId="0565B0FA" w14:textId="77777777" w:rsidR="00F823D8" w:rsidRPr="00295012" w:rsidRDefault="00F823D8" w:rsidP="00F823D8">
      <w:pPr>
        <w:spacing w:after="0" w:line="240" w:lineRule="auto"/>
        <w:rPr>
          <w:rFonts w:ascii="Arial" w:hAnsi="Arial" w:cs="Arial"/>
        </w:rPr>
      </w:pPr>
    </w:p>
    <w:p w14:paraId="294316ED" w14:textId="77777777" w:rsidR="004751C9" w:rsidRPr="00A61702" w:rsidRDefault="00763EE9" w:rsidP="00F823D8">
      <w:pPr>
        <w:spacing w:after="0" w:line="240" w:lineRule="auto"/>
        <w:rPr>
          <w:rFonts w:ascii="Arial" w:hAnsi="Arial" w:cs="Arial"/>
          <w:b/>
          <w:u w:val="single"/>
        </w:rPr>
      </w:pPr>
      <w:r w:rsidRPr="00A61702">
        <w:rPr>
          <w:rFonts w:ascii="Arial" w:hAnsi="Arial" w:cs="Arial"/>
          <w:b/>
          <w:u w:val="single"/>
        </w:rPr>
        <w:t>Part II</w:t>
      </w:r>
      <w:r w:rsidR="004751C9" w:rsidRPr="00A61702">
        <w:rPr>
          <w:rFonts w:ascii="Arial" w:hAnsi="Arial" w:cs="Arial"/>
          <w:b/>
          <w:u w:val="single"/>
        </w:rPr>
        <w:t xml:space="preserve"> </w:t>
      </w:r>
    </w:p>
    <w:p w14:paraId="7E41B176" w14:textId="77777777" w:rsidR="004751C9" w:rsidRDefault="00763EE9" w:rsidP="00212620">
      <w:pPr>
        <w:spacing w:before="120" w:after="0" w:line="240" w:lineRule="auto"/>
        <w:rPr>
          <w:rFonts w:ascii="Arial" w:hAnsi="Arial" w:cs="Arial"/>
        </w:rPr>
      </w:pPr>
      <w:r w:rsidRPr="00295012">
        <w:rPr>
          <w:rFonts w:ascii="Arial" w:hAnsi="Arial" w:cs="Arial"/>
        </w:rPr>
        <w:t>Each general rate case filing shall include:</w:t>
      </w:r>
    </w:p>
    <w:p w14:paraId="348EB575" w14:textId="77777777" w:rsidR="00BF47CA" w:rsidRPr="00295012" w:rsidRDefault="00BF47CA" w:rsidP="00F823D8">
      <w:pPr>
        <w:spacing w:after="0" w:line="240" w:lineRule="auto"/>
        <w:rPr>
          <w:rFonts w:ascii="Arial" w:hAnsi="Arial" w:cs="Arial"/>
        </w:rPr>
      </w:pPr>
    </w:p>
    <w:p w14:paraId="394205F6" w14:textId="168983B7" w:rsidR="00763EE9" w:rsidRPr="007B3435" w:rsidRDefault="00763EE9" w:rsidP="007B3435">
      <w:pPr>
        <w:pStyle w:val="ListParagraph"/>
        <w:numPr>
          <w:ilvl w:val="0"/>
          <w:numId w:val="5"/>
        </w:numPr>
        <w:spacing w:after="0" w:line="240" w:lineRule="auto"/>
        <w:rPr>
          <w:rFonts w:ascii="Arial" w:hAnsi="Arial" w:cs="Arial"/>
        </w:rPr>
      </w:pPr>
      <w:r w:rsidRPr="007B3435">
        <w:rPr>
          <w:rFonts w:ascii="Arial" w:hAnsi="Arial" w:cs="Arial"/>
        </w:rPr>
        <w:t>Annual Reports to the MPSC P-521 (electric) P-522 (gas) for the most recent 2 years</w:t>
      </w:r>
    </w:p>
    <w:p w14:paraId="34EB7F37" w14:textId="4200FF96" w:rsidR="00763EE9" w:rsidRPr="007B3435" w:rsidRDefault="00763EE9" w:rsidP="007B3435">
      <w:pPr>
        <w:pStyle w:val="ListParagraph"/>
        <w:numPr>
          <w:ilvl w:val="0"/>
          <w:numId w:val="5"/>
        </w:numPr>
        <w:spacing w:after="0" w:line="240" w:lineRule="auto"/>
        <w:rPr>
          <w:rFonts w:ascii="Arial" w:hAnsi="Arial" w:cs="Arial"/>
        </w:rPr>
      </w:pPr>
      <w:r w:rsidRPr="007B3435">
        <w:rPr>
          <w:rFonts w:ascii="Arial" w:hAnsi="Arial" w:cs="Arial"/>
        </w:rPr>
        <w:t>Annual Report to the SEC Form 10-K</w:t>
      </w:r>
    </w:p>
    <w:p w14:paraId="497C3A72" w14:textId="29A6E0F3" w:rsidR="00763EE9" w:rsidRPr="007B3435" w:rsidRDefault="00763EE9" w:rsidP="007B3435">
      <w:pPr>
        <w:pStyle w:val="ListParagraph"/>
        <w:numPr>
          <w:ilvl w:val="0"/>
          <w:numId w:val="5"/>
        </w:numPr>
        <w:spacing w:after="0" w:line="240" w:lineRule="auto"/>
        <w:rPr>
          <w:rFonts w:ascii="Arial" w:hAnsi="Arial" w:cs="Arial"/>
        </w:rPr>
      </w:pPr>
      <w:r w:rsidRPr="007B3435">
        <w:rPr>
          <w:rFonts w:ascii="Arial" w:hAnsi="Arial" w:cs="Arial"/>
        </w:rPr>
        <w:t>Quart</w:t>
      </w:r>
      <w:r w:rsidR="0031497F" w:rsidRPr="007B3435">
        <w:rPr>
          <w:rFonts w:ascii="Arial" w:hAnsi="Arial" w:cs="Arial"/>
        </w:rPr>
        <w:t>erly Report to Shareholders (most recent 4 quarters)</w:t>
      </w:r>
    </w:p>
    <w:p w14:paraId="3DDAFC9C" w14:textId="537E74F9" w:rsidR="0031497F" w:rsidRPr="007B3435" w:rsidRDefault="00A85B3A" w:rsidP="007B3435">
      <w:pPr>
        <w:pStyle w:val="ListParagraph"/>
        <w:numPr>
          <w:ilvl w:val="0"/>
          <w:numId w:val="5"/>
        </w:numPr>
        <w:spacing w:after="0" w:line="240" w:lineRule="auto"/>
        <w:rPr>
          <w:rFonts w:ascii="Arial" w:hAnsi="Arial" w:cs="Arial"/>
        </w:rPr>
      </w:pPr>
      <w:r w:rsidRPr="007B3435">
        <w:rPr>
          <w:rFonts w:ascii="Arial" w:hAnsi="Arial" w:cs="Arial"/>
        </w:rPr>
        <w:t>Bond and other financial prospectuses for issuances during the past 2 years</w:t>
      </w:r>
    </w:p>
    <w:p w14:paraId="1519B44E" w14:textId="77777777" w:rsidR="00A85B3A" w:rsidRDefault="00A85B3A" w:rsidP="00F823D8">
      <w:pPr>
        <w:spacing w:after="0" w:line="240" w:lineRule="auto"/>
        <w:rPr>
          <w:rFonts w:ascii="Arial" w:hAnsi="Arial" w:cs="Arial"/>
        </w:rPr>
      </w:pPr>
    </w:p>
    <w:p w14:paraId="233FCE6D" w14:textId="74078923" w:rsidR="00BF47CA" w:rsidRDefault="00BF47CA" w:rsidP="00F823D8">
      <w:pPr>
        <w:spacing w:after="0" w:line="240" w:lineRule="auto"/>
        <w:rPr>
          <w:rFonts w:ascii="Arial" w:hAnsi="Arial" w:cs="Arial"/>
        </w:rPr>
      </w:pPr>
      <w:r>
        <w:rPr>
          <w:rFonts w:ascii="Arial" w:hAnsi="Arial" w:cs="Arial"/>
        </w:rPr>
        <w:t xml:space="preserve">Paper copies of the documents in Part II are not required if the documents are available </w:t>
      </w:r>
      <w:r w:rsidR="00C35FD5">
        <w:rPr>
          <w:rFonts w:ascii="Arial" w:hAnsi="Arial" w:cs="Arial"/>
        </w:rPr>
        <w:t xml:space="preserve">free of charge </w:t>
      </w:r>
      <w:r w:rsidR="00DF4718">
        <w:rPr>
          <w:rFonts w:ascii="Arial" w:hAnsi="Arial" w:cs="Arial"/>
        </w:rPr>
        <w:t xml:space="preserve">online </w:t>
      </w:r>
      <w:r>
        <w:rPr>
          <w:rFonts w:ascii="Arial" w:hAnsi="Arial" w:cs="Arial"/>
        </w:rPr>
        <w:t>as part of the case filing on the e-docket.</w:t>
      </w:r>
      <w:r w:rsidR="00C35FD5">
        <w:rPr>
          <w:rFonts w:ascii="Arial" w:hAnsi="Arial" w:cs="Arial"/>
        </w:rPr>
        <w:t xml:space="preserve">  </w:t>
      </w:r>
      <w:r w:rsidR="00FE5C65">
        <w:rPr>
          <w:rFonts w:ascii="Arial" w:hAnsi="Arial" w:cs="Arial"/>
        </w:rPr>
        <w:t>F</w:t>
      </w:r>
      <w:r w:rsidR="00C35FD5">
        <w:rPr>
          <w:rFonts w:ascii="Arial" w:hAnsi="Arial" w:cs="Arial"/>
        </w:rPr>
        <w:t>or documents available free of charge online</w:t>
      </w:r>
      <w:r w:rsidR="006E1804">
        <w:rPr>
          <w:rFonts w:ascii="Arial" w:hAnsi="Arial" w:cs="Arial"/>
        </w:rPr>
        <w:t xml:space="preserve"> outside of the e-docket</w:t>
      </w:r>
      <w:r w:rsidR="00C35FD5">
        <w:rPr>
          <w:rFonts w:ascii="Arial" w:hAnsi="Arial" w:cs="Arial"/>
        </w:rPr>
        <w:t xml:space="preserve">, the utility may provide a reference link </w:t>
      </w:r>
      <w:r w:rsidR="00A16156">
        <w:rPr>
          <w:rFonts w:ascii="Arial" w:hAnsi="Arial" w:cs="Arial"/>
        </w:rPr>
        <w:t xml:space="preserve">and citation </w:t>
      </w:r>
      <w:r w:rsidR="00C35FD5">
        <w:rPr>
          <w:rFonts w:ascii="Arial" w:hAnsi="Arial" w:cs="Arial"/>
        </w:rPr>
        <w:t xml:space="preserve">to the full and complete version of such documents in </w:t>
      </w:r>
      <w:r w:rsidR="00103DD5">
        <w:rPr>
          <w:rFonts w:ascii="Arial" w:hAnsi="Arial" w:cs="Arial"/>
        </w:rPr>
        <w:t>lieu</w:t>
      </w:r>
      <w:r w:rsidR="00C35FD5">
        <w:rPr>
          <w:rFonts w:ascii="Arial" w:hAnsi="Arial" w:cs="Arial"/>
        </w:rPr>
        <w:t xml:space="preserve"> of provid</w:t>
      </w:r>
      <w:r w:rsidR="001D5B47">
        <w:rPr>
          <w:rFonts w:ascii="Arial" w:hAnsi="Arial" w:cs="Arial"/>
        </w:rPr>
        <w:t xml:space="preserve">ing </w:t>
      </w:r>
      <w:r w:rsidR="00103DD5">
        <w:rPr>
          <w:rFonts w:ascii="Arial" w:hAnsi="Arial" w:cs="Arial"/>
        </w:rPr>
        <w:t xml:space="preserve">the </w:t>
      </w:r>
      <w:r w:rsidR="00C35FD5">
        <w:rPr>
          <w:rFonts w:ascii="Arial" w:hAnsi="Arial" w:cs="Arial"/>
        </w:rPr>
        <w:t xml:space="preserve">full and complete version within its e-docket filing.  </w:t>
      </w:r>
      <w:r w:rsidR="00103DD5">
        <w:rPr>
          <w:rFonts w:ascii="Arial" w:hAnsi="Arial" w:cs="Arial"/>
        </w:rPr>
        <w:t xml:space="preserve">The utility shall not utilize a Michigan Public Service Commission website reference in lieu of </w:t>
      </w:r>
      <w:r w:rsidR="00FE5C65">
        <w:rPr>
          <w:rFonts w:ascii="Arial" w:hAnsi="Arial" w:cs="Arial"/>
        </w:rPr>
        <w:t xml:space="preserve">a </w:t>
      </w:r>
      <w:r w:rsidR="00103DD5">
        <w:rPr>
          <w:rFonts w:ascii="Arial" w:hAnsi="Arial" w:cs="Arial"/>
        </w:rPr>
        <w:t>full and complete version of such documents</w:t>
      </w:r>
      <w:r w:rsidR="00FE5C65">
        <w:rPr>
          <w:rFonts w:ascii="Arial" w:hAnsi="Arial" w:cs="Arial"/>
        </w:rPr>
        <w:t xml:space="preserve"> on the e-docket</w:t>
      </w:r>
      <w:r w:rsidR="00103DD5">
        <w:rPr>
          <w:rFonts w:ascii="Arial" w:hAnsi="Arial" w:cs="Arial"/>
        </w:rPr>
        <w:t xml:space="preserve">.  </w:t>
      </w:r>
    </w:p>
    <w:p w14:paraId="61D42943" w14:textId="77777777" w:rsidR="00BF47CA" w:rsidRDefault="00BF47CA" w:rsidP="00F823D8">
      <w:pPr>
        <w:spacing w:after="0" w:line="240" w:lineRule="auto"/>
        <w:rPr>
          <w:rFonts w:ascii="Arial" w:hAnsi="Arial" w:cs="Arial"/>
        </w:rPr>
      </w:pPr>
    </w:p>
    <w:p w14:paraId="6F71C862" w14:textId="77777777" w:rsidR="00BF47CA" w:rsidRPr="00295012" w:rsidRDefault="00BF47CA" w:rsidP="00F823D8">
      <w:pPr>
        <w:spacing w:after="0" w:line="240" w:lineRule="auto"/>
        <w:rPr>
          <w:rFonts w:ascii="Arial" w:hAnsi="Arial" w:cs="Arial"/>
        </w:rPr>
      </w:pPr>
    </w:p>
    <w:p w14:paraId="1626E0B1" w14:textId="77777777" w:rsidR="00A85B3A" w:rsidRPr="00A61702" w:rsidRDefault="00A85B3A" w:rsidP="00F823D8">
      <w:pPr>
        <w:spacing w:after="0" w:line="240" w:lineRule="auto"/>
        <w:rPr>
          <w:rFonts w:ascii="Arial" w:hAnsi="Arial" w:cs="Arial"/>
          <w:b/>
          <w:u w:val="single"/>
        </w:rPr>
      </w:pPr>
      <w:r w:rsidRPr="00A61702">
        <w:rPr>
          <w:rFonts w:ascii="Arial" w:hAnsi="Arial" w:cs="Arial"/>
          <w:b/>
          <w:u w:val="single"/>
        </w:rPr>
        <w:t>Part III</w:t>
      </w:r>
    </w:p>
    <w:p w14:paraId="034D52E4" w14:textId="76690D5C" w:rsidR="00A85B3A" w:rsidRDefault="00263FA2" w:rsidP="00212620">
      <w:pPr>
        <w:spacing w:before="120" w:after="0" w:line="240" w:lineRule="auto"/>
        <w:rPr>
          <w:rFonts w:ascii="Arial" w:hAnsi="Arial" w:cs="Arial"/>
        </w:rPr>
      </w:pPr>
      <w:r>
        <w:rPr>
          <w:rFonts w:ascii="Arial" w:hAnsi="Arial" w:cs="Arial"/>
        </w:rPr>
        <w:t>Supplemental</w:t>
      </w:r>
      <w:r w:rsidR="00A85B3A" w:rsidRPr="00295012">
        <w:rPr>
          <w:rFonts w:ascii="Arial" w:hAnsi="Arial" w:cs="Arial"/>
        </w:rPr>
        <w:t xml:space="preserve"> Data (see </w:t>
      </w:r>
      <w:r w:rsidR="00A61702">
        <w:rPr>
          <w:rFonts w:ascii="Arial" w:hAnsi="Arial" w:cs="Arial"/>
        </w:rPr>
        <w:t>Part III</w:t>
      </w:r>
      <w:r w:rsidR="003226FE">
        <w:rPr>
          <w:rFonts w:ascii="Arial" w:hAnsi="Arial" w:cs="Arial"/>
        </w:rPr>
        <w:t xml:space="preserve"> – Forms and Instructions</w:t>
      </w:r>
      <w:r w:rsidR="00975A0B">
        <w:rPr>
          <w:rFonts w:ascii="Arial" w:hAnsi="Arial" w:cs="Arial"/>
        </w:rPr>
        <w:t>)</w:t>
      </w:r>
    </w:p>
    <w:p w14:paraId="4AFC4DE4" w14:textId="77777777" w:rsidR="00295012" w:rsidRPr="00295012" w:rsidRDefault="00295012" w:rsidP="00F823D8">
      <w:pPr>
        <w:spacing w:after="0" w:line="240" w:lineRule="auto"/>
        <w:rPr>
          <w:rFonts w:ascii="Arial" w:hAnsi="Arial" w:cs="Arial"/>
        </w:rPr>
      </w:pPr>
    </w:p>
    <w:p w14:paraId="4C44F666" w14:textId="77777777" w:rsidR="00A85B3A" w:rsidRPr="00295012" w:rsidRDefault="00A85B3A" w:rsidP="00F823D8">
      <w:pPr>
        <w:spacing w:after="0" w:line="240" w:lineRule="auto"/>
        <w:rPr>
          <w:rFonts w:ascii="Arial" w:hAnsi="Arial" w:cs="Arial"/>
        </w:rPr>
      </w:pPr>
    </w:p>
    <w:p w14:paraId="0CAD8757" w14:textId="77777777" w:rsidR="00506B09" w:rsidRDefault="00A85B3A" w:rsidP="00F823D8">
      <w:pPr>
        <w:spacing w:after="0" w:line="240" w:lineRule="auto"/>
        <w:rPr>
          <w:rFonts w:ascii="Arial" w:hAnsi="Arial" w:cs="Arial"/>
          <w:b/>
          <w:u w:val="single"/>
        </w:rPr>
      </w:pPr>
      <w:r w:rsidRPr="00A61702">
        <w:rPr>
          <w:rFonts w:ascii="Arial" w:hAnsi="Arial" w:cs="Arial"/>
          <w:b/>
          <w:u w:val="single"/>
        </w:rPr>
        <w:t>Other Instructions</w:t>
      </w:r>
    </w:p>
    <w:p w14:paraId="0A01E643" w14:textId="1848AADA" w:rsidR="00A85B3A" w:rsidRPr="00295012" w:rsidRDefault="00A85B3A" w:rsidP="005D7E8F">
      <w:pPr>
        <w:spacing w:before="120" w:after="0" w:line="240" w:lineRule="auto"/>
        <w:rPr>
          <w:rFonts w:ascii="Arial" w:hAnsi="Arial" w:cs="Arial"/>
        </w:rPr>
      </w:pPr>
      <w:r w:rsidRPr="00295012">
        <w:rPr>
          <w:rFonts w:ascii="Arial" w:hAnsi="Arial" w:cs="Arial"/>
        </w:rPr>
        <w:t xml:space="preserve">A </w:t>
      </w:r>
      <w:r w:rsidR="00A61702">
        <w:rPr>
          <w:rFonts w:ascii="Arial" w:hAnsi="Arial" w:cs="Arial"/>
        </w:rPr>
        <w:t xml:space="preserve">rate case </w:t>
      </w:r>
      <w:r w:rsidRPr="00295012">
        <w:rPr>
          <w:rFonts w:ascii="Arial" w:hAnsi="Arial" w:cs="Arial"/>
        </w:rPr>
        <w:t>filing shall include:</w:t>
      </w:r>
    </w:p>
    <w:p w14:paraId="05EB58DB" w14:textId="77777777" w:rsidR="00430EE0" w:rsidRPr="00295012" w:rsidRDefault="00430EE0" w:rsidP="000D308B">
      <w:pPr>
        <w:pStyle w:val="ListParagraph"/>
        <w:numPr>
          <w:ilvl w:val="0"/>
          <w:numId w:val="1"/>
        </w:numPr>
        <w:spacing w:before="120" w:after="0" w:line="240" w:lineRule="auto"/>
        <w:rPr>
          <w:rFonts w:ascii="Arial" w:hAnsi="Arial" w:cs="Arial"/>
        </w:rPr>
      </w:pPr>
      <w:r w:rsidRPr="00295012">
        <w:rPr>
          <w:rFonts w:ascii="Arial" w:hAnsi="Arial" w:cs="Arial"/>
        </w:rPr>
        <w:t>An application describing the relief that is being sought by the applicant</w:t>
      </w:r>
    </w:p>
    <w:p w14:paraId="30BC8C19" w14:textId="1CCD342B" w:rsidR="00036217" w:rsidRPr="004D1992" w:rsidRDefault="00430EE0" w:rsidP="00036217">
      <w:pPr>
        <w:pStyle w:val="ListParagraph"/>
        <w:numPr>
          <w:ilvl w:val="0"/>
          <w:numId w:val="1"/>
        </w:numPr>
        <w:spacing w:after="0" w:line="240" w:lineRule="auto"/>
        <w:rPr>
          <w:rFonts w:ascii="Arial" w:hAnsi="Arial" w:cs="Arial"/>
        </w:rPr>
      </w:pPr>
      <w:r w:rsidRPr="004D1992">
        <w:rPr>
          <w:rFonts w:ascii="Arial" w:hAnsi="Arial" w:cs="Arial"/>
        </w:rPr>
        <w:t>A draft notice of hearing in current prescribed MPSC format</w:t>
      </w:r>
    </w:p>
    <w:p w14:paraId="4C5759F2" w14:textId="77777777" w:rsidR="008F0527" w:rsidRDefault="00430EE0" w:rsidP="008F0527">
      <w:pPr>
        <w:pStyle w:val="ListParagraph"/>
        <w:numPr>
          <w:ilvl w:val="0"/>
          <w:numId w:val="1"/>
        </w:numPr>
        <w:spacing w:after="0" w:line="240" w:lineRule="auto"/>
        <w:rPr>
          <w:rFonts w:ascii="Arial" w:hAnsi="Arial" w:cs="Arial"/>
        </w:rPr>
      </w:pPr>
      <w:r w:rsidRPr="00295012">
        <w:rPr>
          <w:rFonts w:ascii="Arial" w:hAnsi="Arial" w:cs="Arial"/>
        </w:rPr>
        <w:t>Testimony in support of the utilities filed request</w:t>
      </w:r>
    </w:p>
    <w:p w14:paraId="1BE80C78" w14:textId="77777777" w:rsidR="00263FA2" w:rsidRDefault="00A61702" w:rsidP="00F823D8">
      <w:pPr>
        <w:pStyle w:val="ListParagraph"/>
        <w:numPr>
          <w:ilvl w:val="0"/>
          <w:numId w:val="1"/>
        </w:numPr>
        <w:spacing w:after="0" w:line="240" w:lineRule="auto"/>
        <w:rPr>
          <w:rFonts w:ascii="Arial" w:hAnsi="Arial" w:cs="Arial"/>
        </w:rPr>
      </w:pPr>
      <w:r>
        <w:rPr>
          <w:rFonts w:ascii="Arial" w:hAnsi="Arial" w:cs="Arial"/>
        </w:rPr>
        <w:t>A</w:t>
      </w:r>
      <w:r w:rsidR="00867B41">
        <w:rPr>
          <w:rFonts w:ascii="Arial" w:hAnsi="Arial" w:cs="Arial"/>
        </w:rPr>
        <w:t xml:space="preserve"> </w:t>
      </w:r>
      <w:r>
        <w:rPr>
          <w:rFonts w:ascii="Arial" w:hAnsi="Arial" w:cs="Arial"/>
        </w:rPr>
        <w:t xml:space="preserve">draft </w:t>
      </w:r>
      <w:r w:rsidR="00867B41">
        <w:rPr>
          <w:rFonts w:ascii="Arial" w:hAnsi="Arial" w:cs="Arial"/>
        </w:rPr>
        <w:t>Protective Order</w:t>
      </w:r>
      <w:r w:rsidR="006E18DB">
        <w:rPr>
          <w:rFonts w:ascii="Arial" w:hAnsi="Arial" w:cs="Arial"/>
        </w:rPr>
        <w:t>.  Utilities are encouraged to use t</w:t>
      </w:r>
      <w:r w:rsidR="00D83B9C">
        <w:rPr>
          <w:rFonts w:ascii="Arial" w:hAnsi="Arial" w:cs="Arial"/>
        </w:rPr>
        <w:t xml:space="preserve">he attached </w:t>
      </w:r>
      <w:r w:rsidR="006E18DB">
        <w:rPr>
          <w:rFonts w:ascii="Arial" w:hAnsi="Arial" w:cs="Arial"/>
        </w:rPr>
        <w:t>protective order as a template</w:t>
      </w:r>
      <w:r w:rsidR="00D83B9C">
        <w:rPr>
          <w:rFonts w:ascii="Arial" w:hAnsi="Arial" w:cs="Arial"/>
        </w:rPr>
        <w:t xml:space="preserve"> (see Attachment 13)</w:t>
      </w:r>
      <w:r w:rsidR="006E18DB">
        <w:rPr>
          <w:rFonts w:ascii="Arial" w:hAnsi="Arial" w:cs="Arial"/>
        </w:rPr>
        <w:t xml:space="preserve">.  Parties may seek to add other terms to a utility’s draft protective order.  </w:t>
      </w:r>
    </w:p>
    <w:p w14:paraId="3C6CD657" w14:textId="343EE08D" w:rsidR="0014274D" w:rsidRPr="00263FA2" w:rsidRDefault="00430EE0" w:rsidP="00F823D8">
      <w:pPr>
        <w:pStyle w:val="ListParagraph"/>
        <w:numPr>
          <w:ilvl w:val="0"/>
          <w:numId w:val="1"/>
        </w:numPr>
        <w:spacing w:after="0" w:line="240" w:lineRule="auto"/>
        <w:rPr>
          <w:rFonts w:ascii="Arial" w:hAnsi="Arial" w:cs="Arial"/>
        </w:rPr>
      </w:pPr>
      <w:r w:rsidRPr="00263FA2">
        <w:rPr>
          <w:rFonts w:ascii="Arial" w:hAnsi="Arial" w:cs="Arial"/>
        </w:rPr>
        <w:t>Information as defined in these Filing Instruction</w:t>
      </w:r>
      <w:r w:rsidR="00BF47CA" w:rsidRPr="00263FA2">
        <w:rPr>
          <w:rFonts w:ascii="Arial" w:hAnsi="Arial" w:cs="Arial"/>
        </w:rPr>
        <w:t>s</w:t>
      </w:r>
      <w:r w:rsidRPr="00263FA2">
        <w:rPr>
          <w:rFonts w:ascii="Arial" w:hAnsi="Arial" w:cs="Arial"/>
        </w:rPr>
        <w:t xml:space="preserve">, Part I, Part II and Part III, including </w:t>
      </w:r>
      <w:proofErr w:type="spellStart"/>
      <w:r w:rsidRPr="00263FA2">
        <w:rPr>
          <w:rFonts w:ascii="Arial" w:hAnsi="Arial" w:cs="Arial"/>
        </w:rPr>
        <w:t>workpapers</w:t>
      </w:r>
      <w:proofErr w:type="spellEnd"/>
      <w:r w:rsidRPr="00263FA2">
        <w:rPr>
          <w:rFonts w:ascii="Arial" w:hAnsi="Arial" w:cs="Arial"/>
        </w:rPr>
        <w:t xml:space="preserve"> in support of Part I</w:t>
      </w:r>
      <w:r w:rsidR="00BF47CA" w:rsidRPr="00263FA2">
        <w:rPr>
          <w:rFonts w:ascii="Arial" w:hAnsi="Arial" w:cs="Arial"/>
        </w:rPr>
        <w:t xml:space="preserve">, Part II and Part III as </w:t>
      </w:r>
      <w:r w:rsidRPr="00263FA2">
        <w:rPr>
          <w:rFonts w:ascii="Arial" w:hAnsi="Arial" w:cs="Arial"/>
        </w:rPr>
        <w:t>described in these filing instructions</w:t>
      </w:r>
    </w:p>
    <w:p w14:paraId="0BB21BD6" w14:textId="77777777" w:rsidR="000D308B" w:rsidRPr="00295012" w:rsidRDefault="000D308B" w:rsidP="00F823D8">
      <w:pPr>
        <w:spacing w:after="0" w:line="240" w:lineRule="auto"/>
        <w:rPr>
          <w:rFonts w:ascii="Arial" w:hAnsi="Arial" w:cs="Arial"/>
        </w:rPr>
      </w:pPr>
    </w:p>
    <w:p w14:paraId="34194E39" w14:textId="5AB1ED60" w:rsidR="00966114" w:rsidRPr="00A61702" w:rsidRDefault="00966114" w:rsidP="00F823D8">
      <w:pPr>
        <w:spacing w:after="0" w:line="240" w:lineRule="auto"/>
        <w:rPr>
          <w:rFonts w:ascii="Arial" w:hAnsi="Arial" w:cs="Arial"/>
          <w:b/>
          <w:u w:val="single"/>
        </w:rPr>
      </w:pPr>
      <w:r w:rsidRPr="00A61702">
        <w:rPr>
          <w:rFonts w:ascii="Arial" w:hAnsi="Arial" w:cs="Arial"/>
          <w:b/>
          <w:u w:val="single"/>
        </w:rPr>
        <w:t>Process Guidelines</w:t>
      </w:r>
    </w:p>
    <w:p w14:paraId="0CD3BD9E" w14:textId="77777777" w:rsidR="005A52F0" w:rsidRPr="00D944FB" w:rsidRDefault="00AF6936" w:rsidP="00A61702">
      <w:pPr>
        <w:pStyle w:val="ListParagraph"/>
        <w:numPr>
          <w:ilvl w:val="0"/>
          <w:numId w:val="4"/>
        </w:numPr>
        <w:spacing w:before="120" w:after="0" w:line="240" w:lineRule="auto"/>
        <w:rPr>
          <w:rFonts w:ascii="Arial" w:hAnsi="Arial" w:cs="Arial"/>
        </w:rPr>
      </w:pPr>
      <w:r w:rsidRPr="00D944FB">
        <w:rPr>
          <w:rFonts w:ascii="Arial" w:hAnsi="Arial" w:cs="Arial"/>
        </w:rPr>
        <w:t>For</w:t>
      </w:r>
      <w:r w:rsidR="004D1992" w:rsidRPr="00D944FB">
        <w:rPr>
          <w:rFonts w:ascii="Arial" w:hAnsi="Arial" w:cs="Arial"/>
        </w:rPr>
        <w:t xml:space="preserve"> cross-examination transcripts, t</w:t>
      </w:r>
      <w:r w:rsidR="005D63A3" w:rsidRPr="00D944FB">
        <w:rPr>
          <w:rFonts w:ascii="Arial" w:hAnsi="Arial" w:cs="Arial"/>
        </w:rPr>
        <w:t>he u</w:t>
      </w:r>
      <w:r w:rsidR="00966114" w:rsidRPr="00D944FB">
        <w:rPr>
          <w:rFonts w:ascii="Arial" w:hAnsi="Arial" w:cs="Arial"/>
        </w:rPr>
        <w:t xml:space="preserve">tility shall secure and pay for transcript turnaround </w:t>
      </w:r>
      <w:r w:rsidR="00253FAD" w:rsidRPr="00D944FB">
        <w:rPr>
          <w:rFonts w:ascii="Arial" w:hAnsi="Arial" w:cs="Arial"/>
        </w:rPr>
        <w:t>service of</w:t>
      </w:r>
      <w:r w:rsidR="004D1992" w:rsidRPr="00D944FB">
        <w:rPr>
          <w:rFonts w:ascii="Arial" w:hAnsi="Arial" w:cs="Arial"/>
        </w:rPr>
        <w:t xml:space="preserve"> three</w:t>
      </w:r>
      <w:r w:rsidR="00253FAD" w:rsidRPr="00D944FB">
        <w:rPr>
          <w:rFonts w:ascii="Arial" w:hAnsi="Arial" w:cs="Arial"/>
        </w:rPr>
        <w:t xml:space="preserve">-days or </w:t>
      </w:r>
      <w:r w:rsidR="00B815A6" w:rsidRPr="00D944FB">
        <w:rPr>
          <w:rFonts w:ascii="Arial" w:hAnsi="Arial" w:cs="Arial"/>
        </w:rPr>
        <w:t>faster</w:t>
      </w:r>
      <w:r w:rsidR="00253FAD" w:rsidRPr="00D944FB">
        <w:rPr>
          <w:rFonts w:ascii="Arial" w:hAnsi="Arial" w:cs="Arial"/>
        </w:rPr>
        <w:t>.</w:t>
      </w:r>
      <w:r w:rsidR="00652BF0" w:rsidRPr="00D944FB">
        <w:rPr>
          <w:rFonts w:ascii="Arial" w:hAnsi="Arial" w:cs="Arial"/>
        </w:rPr>
        <w:t xml:space="preserve">  </w:t>
      </w:r>
      <w:r w:rsidR="00096F9F" w:rsidRPr="00D944FB">
        <w:rPr>
          <w:rFonts w:ascii="Arial" w:hAnsi="Arial" w:cs="Arial"/>
        </w:rPr>
        <w:t>If not available on the e-docket, t</w:t>
      </w:r>
      <w:r w:rsidR="00652BF0" w:rsidRPr="00D944FB">
        <w:rPr>
          <w:rFonts w:ascii="Arial" w:hAnsi="Arial" w:cs="Arial"/>
        </w:rPr>
        <w:t xml:space="preserve">he utility shall provide </w:t>
      </w:r>
      <w:r w:rsidR="00096F9F" w:rsidRPr="00D944FB">
        <w:rPr>
          <w:rFonts w:ascii="Arial" w:hAnsi="Arial" w:cs="Arial"/>
        </w:rPr>
        <w:t xml:space="preserve">non-confidential </w:t>
      </w:r>
      <w:r w:rsidR="00652BF0" w:rsidRPr="00D944FB">
        <w:rPr>
          <w:rFonts w:ascii="Arial" w:hAnsi="Arial" w:cs="Arial"/>
        </w:rPr>
        <w:t>transcripts to all parties</w:t>
      </w:r>
      <w:r w:rsidR="00096F9F" w:rsidRPr="00D944FB">
        <w:rPr>
          <w:rFonts w:ascii="Arial" w:hAnsi="Arial" w:cs="Arial"/>
        </w:rPr>
        <w:t xml:space="preserve">.  If not available on the e-docket, the utility shall provide confidential transcripts to the parties </w:t>
      </w:r>
      <w:r w:rsidR="00652BF0" w:rsidRPr="00D944FB">
        <w:rPr>
          <w:rFonts w:ascii="Arial" w:hAnsi="Arial" w:cs="Arial"/>
        </w:rPr>
        <w:t xml:space="preserve">pursuant to applicable protective orders.  </w:t>
      </w:r>
    </w:p>
    <w:p w14:paraId="7354E4DD" w14:textId="321E07A1" w:rsidR="00966114" w:rsidRPr="00D944FB" w:rsidRDefault="00F65B12" w:rsidP="005A52F0">
      <w:pPr>
        <w:pStyle w:val="ListParagraph"/>
        <w:spacing w:before="120" w:after="0" w:line="240" w:lineRule="auto"/>
        <w:rPr>
          <w:rFonts w:ascii="Arial" w:hAnsi="Arial" w:cs="Arial"/>
        </w:rPr>
      </w:pPr>
      <w:r w:rsidRPr="00D944FB">
        <w:rPr>
          <w:rFonts w:ascii="Arial" w:hAnsi="Arial" w:cs="Arial"/>
        </w:rPr>
        <w:t xml:space="preserve">  </w:t>
      </w:r>
    </w:p>
    <w:p w14:paraId="46ACBAE4" w14:textId="45176BED" w:rsidR="00C34138" w:rsidRPr="00D944FB" w:rsidRDefault="00A50D34" w:rsidP="00BA7C2A">
      <w:pPr>
        <w:pStyle w:val="ListParagraph"/>
        <w:numPr>
          <w:ilvl w:val="0"/>
          <w:numId w:val="4"/>
        </w:numPr>
        <w:spacing w:after="120" w:line="240" w:lineRule="auto"/>
        <w:rPr>
          <w:rFonts w:ascii="Arial" w:hAnsi="Arial" w:cs="Arial"/>
        </w:rPr>
      </w:pPr>
      <w:r w:rsidRPr="00D944FB">
        <w:rPr>
          <w:rFonts w:ascii="Arial" w:hAnsi="Arial" w:cs="Arial"/>
        </w:rPr>
        <w:t xml:space="preserve">For documents whereby the utility is the author or creator, such </w:t>
      </w:r>
      <w:r w:rsidR="00AF6936" w:rsidRPr="00D944FB">
        <w:rPr>
          <w:rFonts w:ascii="Arial" w:hAnsi="Arial" w:cs="Arial"/>
        </w:rPr>
        <w:t>document</w:t>
      </w:r>
      <w:r w:rsidRPr="00D944FB">
        <w:rPr>
          <w:rFonts w:ascii="Arial" w:hAnsi="Arial" w:cs="Arial"/>
        </w:rPr>
        <w:t>s</w:t>
      </w:r>
      <w:r w:rsidR="00AF6936" w:rsidRPr="00D944FB">
        <w:rPr>
          <w:rFonts w:ascii="Arial" w:hAnsi="Arial" w:cs="Arial"/>
        </w:rPr>
        <w:t xml:space="preserve"> </w:t>
      </w:r>
      <w:r w:rsidR="00966114" w:rsidRPr="00D944FB">
        <w:rPr>
          <w:rFonts w:ascii="Arial" w:hAnsi="Arial" w:cs="Arial"/>
        </w:rPr>
        <w:t>provided to the docket or in response to audit/discovery shall be key word searchable.</w:t>
      </w:r>
      <w:r w:rsidR="00AF6936" w:rsidRPr="00D944FB">
        <w:rPr>
          <w:rFonts w:ascii="Arial" w:hAnsi="Arial" w:cs="Arial"/>
        </w:rPr>
        <w:t xml:space="preserve">  </w:t>
      </w:r>
    </w:p>
    <w:p w14:paraId="2E944508" w14:textId="77777777" w:rsidR="005A52F0" w:rsidRPr="00D944FB" w:rsidRDefault="005A52F0" w:rsidP="005A52F0">
      <w:pPr>
        <w:pStyle w:val="ListParagraph"/>
        <w:spacing w:after="120" w:line="240" w:lineRule="auto"/>
        <w:rPr>
          <w:rFonts w:ascii="Arial" w:hAnsi="Arial" w:cs="Arial"/>
        </w:rPr>
      </w:pPr>
    </w:p>
    <w:p w14:paraId="133391BD" w14:textId="4FF7A195" w:rsidR="00253FAD" w:rsidRPr="00D944FB" w:rsidRDefault="00253FAD" w:rsidP="00C34138">
      <w:pPr>
        <w:pStyle w:val="ListParagraph"/>
        <w:numPr>
          <w:ilvl w:val="0"/>
          <w:numId w:val="4"/>
        </w:numPr>
        <w:spacing w:after="0" w:line="240" w:lineRule="auto"/>
        <w:rPr>
          <w:rFonts w:ascii="Arial" w:hAnsi="Arial" w:cs="Arial"/>
        </w:rPr>
      </w:pPr>
      <w:r w:rsidRPr="00D944FB">
        <w:rPr>
          <w:rFonts w:ascii="Arial" w:hAnsi="Arial" w:cs="Arial"/>
        </w:rPr>
        <w:lastRenderedPageBreak/>
        <w:t xml:space="preserve">Upon Staff’s request, the utility shall make available to Staff any proprietary information, analyses, modeling, or similar that the utility uses to support its rate filing or that the utility uses to facilitate its internal planning, budgeting, decision-making, risk assessment, or similar </w:t>
      </w:r>
      <w:r w:rsidR="00BA7C2A" w:rsidRPr="00D944FB">
        <w:rPr>
          <w:rFonts w:ascii="Arial" w:hAnsi="Arial" w:cs="Arial"/>
        </w:rPr>
        <w:t xml:space="preserve">processes.  If a utility is unable to provide the requested proprietary information due to license/contractual/legal restrictions, the utility shall provide staff with verification of such restrictions. </w:t>
      </w:r>
    </w:p>
    <w:p w14:paraId="43442A37" w14:textId="77777777" w:rsidR="00892374" w:rsidRPr="00D944FB" w:rsidRDefault="00892374" w:rsidP="00892374">
      <w:pPr>
        <w:pStyle w:val="ListParagraph"/>
        <w:spacing w:after="0" w:line="240" w:lineRule="auto"/>
        <w:rPr>
          <w:rFonts w:ascii="Arial" w:hAnsi="Arial" w:cs="Arial"/>
        </w:rPr>
      </w:pPr>
    </w:p>
    <w:p w14:paraId="29144FC8" w14:textId="77777777" w:rsidR="00892374" w:rsidRPr="00D944FB" w:rsidRDefault="00892374" w:rsidP="00892374">
      <w:pPr>
        <w:pStyle w:val="ListParagraph"/>
        <w:numPr>
          <w:ilvl w:val="0"/>
          <w:numId w:val="4"/>
        </w:numPr>
        <w:spacing w:after="0" w:line="240" w:lineRule="auto"/>
        <w:rPr>
          <w:rFonts w:ascii="Arial" w:hAnsi="Arial" w:cs="Arial"/>
        </w:rPr>
      </w:pPr>
      <w:r w:rsidRPr="00D944FB">
        <w:rPr>
          <w:rFonts w:ascii="Arial" w:hAnsi="Arial" w:cs="Arial"/>
        </w:rPr>
        <w:t>Once a petition to intervene is filed, the potential intervening person may begin issuing discovery.  If the utility receives a discovery request from a person which filed a petition to intervene, but that person has yet to be granted intervenor status, then the utility shall respond to said discovery (within 8 business days) in one of two ways:</w:t>
      </w:r>
    </w:p>
    <w:p w14:paraId="51E58E6A" w14:textId="77777777" w:rsidR="00892374" w:rsidRPr="00D944FB" w:rsidRDefault="00892374" w:rsidP="00892374">
      <w:pPr>
        <w:pStyle w:val="ListParagraph"/>
        <w:spacing w:after="0" w:line="240" w:lineRule="auto"/>
        <w:rPr>
          <w:rFonts w:ascii="Arial" w:hAnsi="Arial" w:cs="Arial"/>
        </w:rPr>
      </w:pPr>
    </w:p>
    <w:p w14:paraId="03152E06" w14:textId="32E2CE50" w:rsidR="00892374" w:rsidRPr="00D944FB" w:rsidRDefault="00892374" w:rsidP="00892374">
      <w:pPr>
        <w:spacing w:after="0" w:line="240" w:lineRule="auto"/>
        <w:ind w:left="1260"/>
        <w:rPr>
          <w:rFonts w:ascii="Arial" w:hAnsi="Arial" w:cs="Arial"/>
        </w:rPr>
      </w:pPr>
      <w:r w:rsidRPr="00D944FB">
        <w:rPr>
          <w:rFonts w:ascii="Arial" w:hAnsi="Arial" w:cs="Arial"/>
        </w:rPr>
        <w:t>a)  Indicate, in writing, to that person that the utility intends to object to their intervention at the prehearing, OR</w:t>
      </w:r>
    </w:p>
    <w:p w14:paraId="3A8BB162" w14:textId="77777777" w:rsidR="00892374" w:rsidRPr="00D944FB" w:rsidRDefault="00892374" w:rsidP="00892374">
      <w:pPr>
        <w:spacing w:after="0" w:line="240" w:lineRule="auto"/>
        <w:rPr>
          <w:rFonts w:ascii="Arial" w:hAnsi="Arial" w:cs="Arial"/>
        </w:rPr>
      </w:pPr>
    </w:p>
    <w:p w14:paraId="0EDB686D" w14:textId="5E933F05" w:rsidR="00892374" w:rsidRPr="00D944FB" w:rsidRDefault="00892374" w:rsidP="00892374">
      <w:pPr>
        <w:spacing w:after="0" w:line="240" w:lineRule="auto"/>
        <w:ind w:left="1260"/>
        <w:rPr>
          <w:rFonts w:ascii="Arial" w:hAnsi="Arial" w:cs="Arial"/>
        </w:rPr>
      </w:pPr>
      <w:r w:rsidRPr="00D944FB">
        <w:rPr>
          <w:rFonts w:ascii="Arial" w:hAnsi="Arial" w:cs="Arial"/>
        </w:rPr>
        <w:t>b)  Respond to said discovery in the same manner the utility would respond as if the potential intervener was already granted intervening status (</w:t>
      </w:r>
      <w:proofErr w:type="spellStart"/>
      <w:r w:rsidRPr="00D944FB">
        <w:rPr>
          <w:rFonts w:ascii="Arial" w:hAnsi="Arial" w:cs="Arial"/>
        </w:rPr>
        <w:t>ie</w:t>
      </w:r>
      <w:proofErr w:type="spellEnd"/>
      <w:r w:rsidRPr="00D944FB">
        <w:rPr>
          <w:rFonts w:ascii="Arial" w:hAnsi="Arial" w:cs="Arial"/>
        </w:rPr>
        <w:t>, a normal discovery response)</w:t>
      </w:r>
    </w:p>
    <w:p w14:paraId="49F3A61F" w14:textId="77777777" w:rsidR="00966114" w:rsidRDefault="00966114" w:rsidP="00F823D8">
      <w:pPr>
        <w:spacing w:after="0" w:line="240" w:lineRule="auto"/>
        <w:rPr>
          <w:rFonts w:ascii="Arial" w:hAnsi="Arial" w:cs="Arial"/>
          <w:u w:val="single"/>
        </w:rPr>
      </w:pPr>
    </w:p>
    <w:p w14:paraId="0F82A32B" w14:textId="77777777" w:rsidR="00571FEA" w:rsidRDefault="00571FEA" w:rsidP="00F823D8">
      <w:pPr>
        <w:spacing w:after="0" w:line="240" w:lineRule="auto"/>
        <w:rPr>
          <w:rFonts w:ascii="Arial" w:hAnsi="Arial" w:cs="Arial"/>
          <w:u w:val="single"/>
        </w:rPr>
      </w:pPr>
    </w:p>
    <w:p w14:paraId="366795D5" w14:textId="49DAAE08" w:rsidR="00430EE0" w:rsidRPr="00A61702" w:rsidRDefault="00430EE0" w:rsidP="00F823D8">
      <w:pPr>
        <w:spacing w:after="0" w:line="240" w:lineRule="auto"/>
        <w:rPr>
          <w:rFonts w:ascii="Arial" w:hAnsi="Arial" w:cs="Arial"/>
          <w:b/>
          <w:u w:val="single"/>
        </w:rPr>
      </w:pPr>
      <w:r w:rsidRPr="00A61702">
        <w:rPr>
          <w:rFonts w:ascii="Arial" w:hAnsi="Arial" w:cs="Arial"/>
          <w:b/>
          <w:u w:val="single"/>
        </w:rPr>
        <w:t>Schedule Guidelines</w:t>
      </w:r>
    </w:p>
    <w:p w14:paraId="7BE1653C" w14:textId="124E5BFE" w:rsidR="009C09BE" w:rsidRDefault="009415F4" w:rsidP="009C09BE">
      <w:pPr>
        <w:spacing w:before="120" w:after="0" w:line="240" w:lineRule="auto"/>
        <w:rPr>
          <w:rFonts w:ascii="Arial" w:hAnsi="Arial" w:cs="Arial"/>
        </w:rPr>
      </w:pPr>
      <w:r w:rsidRPr="00295012">
        <w:rPr>
          <w:rFonts w:ascii="Arial" w:hAnsi="Arial" w:cs="Arial"/>
        </w:rPr>
        <w:t xml:space="preserve">The </w:t>
      </w:r>
      <w:r>
        <w:rPr>
          <w:rFonts w:ascii="Arial" w:hAnsi="Arial" w:cs="Arial"/>
        </w:rPr>
        <w:t>prehearing conference should</w:t>
      </w:r>
      <w:r w:rsidR="001929B3">
        <w:rPr>
          <w:rFonts w:ascii="Arial" w:hAnsi="Arial" w:cs="Arial"/>
        </w:rPr>
        <w:t xml:space="preserve"> occur no sooner than 18 calendar days after a </w:t>
      </w:r>
      <w:r w:rsidR="003027CF">
        <w:rPr>
          <w:rFonts w:ascii="Arial" w:hAnsi="Arial" w:cs="Arial"/>
        </w:rPr>
        <w:t xml:space="preserve">rate </w:t>
      </w:r>
      <w:r w:rsidR="001929B3">
        <w:rPr>
          <w:rFonts w:ascii="Arial" w:hAnsi="Arial" w:cs="Arial"/>
        </w:rPr>
        <w:t xml:space="preserve">case is filed, and also not later than 28 calendar days </w:t>
      </w:r>
      <w:r>
        <w:rPr>
          <w:rFonts w:ascii="Arial" w:hAnsi="Arial" w:cs="Arial"/>
        </w:rPr>
        <w:t>after the rate case is filed.</w:t>
      </w:r>
      <w:r w:rsidR="001929B3">
        <w:rPr>
          <w:rFonts w:ascii="Arial" w:hAnsi="Arial" w:cs="Arial"/>
        </w:rPr>
        <w:t xml:space="preserve">  </w:t>
      </w:r>
      <w:r w:rsidR="00430EE0" w:rsidRPr="00295012">
        <w:rPr>
          <w:rFonts w:ascii="Arial" w:hAnsi="Arial" w:cs="Arial"/>
        </w:rPr>
        <w:t>The Administrative Law Judge</w:t>
      </w:r>
      <w:r w:rsidR="00867B41">
        <w:rPr>
          <w:rFonts w:ascii="Arial" w:hAnsi="Arial" w:cs="Arial"/>
        </w:rPr>
        <w:t xml:space="preserve"> (ALJ)</w:t>
      </w:r>
      <w:r w:rsidR="00430EE0" w:rsidRPr="00295012">
        <w:rPr>
          <w:rFonts w:ascii="Arial" w:hAnsi="Arial" w:cs="Arial"/>
        </w:rPr>
        <w:t xml:space="preserve"> shall adopt a schedule that initially requires Intervenors and Staff to file their direct cases in sufficient time to allow the Commission to </w:t>
      </w:r>
      <w:r w:rsidR="009528FA">
        <w:rPr>
          <w:rFonts w:ascii="Arial" w:hAnsi="Arial" w:cs="Arial"/>
        </w:rPr>
        <w:t xml:space="preserve">reach a final decision </w:t>
      </w:r>
      <w:bookmarkStart w:id="0" w:name="_GoBack"/>
      <w:bookmarkEnd w:id="0"/>
      <w:r w:rsidR="00430EE0" w:rsidRPr="00295012">
        <w:rPr>
          <w:rFonts w:ascii="Arial" w:hAnsi="Arial" w:cs="Arial"/>
        </w:rPr>
        <w:t xml:space="preserve">within </w:t>
      </w:r>
      <w:r w:rsidR="00894B97">
        <w:rPr>
          <w:rFonts w:ascii="Arial" w:hAnsi="Arial" w:cs="Arial"/>
        </w:rPr>
        <w:t>10</w:t>
      </w:r>
      <w:r w:rsidR="00894B97" w:rsidRPr="00295012">
        <w:rPr>
          <w:rFonts w:ascii="Arial" w:hAnsi="Arial" w:cs="Arial"/>
        </w:rPr>
        <w:t xml:space="preserve"> </w:t>
      </w:r>
      <w:r w:rsidR="00430EE0" w:rsidRPr="00295012">
        <w:rPr>
          <w:rFonts w:ascii="Arial" w:hAnsi="Arial" w:cs="Arial"/>
        </w:rPr>
        <w:t>months from the date of the filing of the rate case.</w:t>
      </w:r>
      <w:r w:rsidR="009C09BE">
        <w:rPr>
          <w:rFonts w:ascii="Arial" w:hAnsi="Arial" w:cs="Arial"/>
        </w:rPr>
        <w:t xml:space="preserve">  </w:t>
      </w:r>
      <w:r w:rsidR="00867B41">
        <w:rPr>
          <w:rFonts w:ascii="Arial" w:hAnsi="Arial" w:cs="Arial"/>
        </w:rPr>
        <w:t xml:space="preserve">The ALJ shall </w:t>
      </w:r>
      <w:r w:rsidR="008A5142">
        <w:rPr>
          <w:rFonts w:ascii="Arial" w:hAnsi="Arial" w:cs="Arial"/>
        </w:rPr>
        <w:t xml:space="preserve">establish </w:t>
      </w:r>
      <w:r w:rsidR="00867B41">
        <w:rPr>
          <w:rFonts w:ascii="Arial" w:hAnsi="Arial" w:cs="Arial"/>
        </w:rPr>
        <w:t>a 10</w:t>
      </w:r>
      <w:r>
        <w:rPr>
          <w:rFonts w:ascii="Arial" w:hAnsi="Arial" w:cs="Arial"/>
        </w:rPr>
        <w:t>-</w:t>
      </w:r>
      <w:r w:rsidR="00867B41">
        <w:rPr>
          <w:rFonts w:ascii="Arial" w:hAnsi="Arial" w:cs="Arial"/>
        </w:rPr>
        <w:t>month schedule without respect to Commission meeting dates</w:t>
      </w:r>
      <w:r w:rsidR="003027CF">
        <w:rPr>
          <w:rFonts w:ascii="Arial" w:hAnsi="Arial" w:cs="Arial"/>
        </w:rPr>
        <w:t>, thus utilizing the entire 10-month period</w:t>
      </w:r>
      <w:r w:rsidR="00867B41">
        <w:rPr>
          <w:rFonts w:ascii="Arial" w:hAnsi="Arial" w:cs="Arial"/>
        </w:rPr>
        <w:t>.</w:t>
      </w:r>
      <w:r w:rsidR="009C09BE">
        <w:rPr>
          <w:rFonts w:ascii="Arial" w:hAnsi="Arial" w:cs="Arial"/>
        </w:rPr>
        <w:t xml:space="preserve"> </w:t>
      </w:r>
    </w:p>
    <w:p w14:paraId="2630D284" w14:textId="77777777" w:rsidR="009C09BE" w:rsidRDefault="009C09BE" w:rsidP="009C09BE">
      <w:pPr>
        <w:spacing w:after="0" w:line="240" w:lineRule="auto"/>
        <w:rPr>
          <w:rFonts w:ascii="Arial" w:hAnsi="Arial" w:cs="Arial"/>
        </w:rPr>
      </w:pPr>
    </w:p>
    <w:p w14:paraId="74BB43F0" w14:textId="10F5A5C9" w:rsidR="000A5FB1" w:rsidRDefault="000A5FB1" w:rsidP="009C09BE">
      <w:pPr>
        <w:spacing w:after="0" w:line="240" w:lineRule="auto"/>
        <w:rPr>
          <w:rFonts w:ascii="Arial" w:hAnsi="Arial" w:cs="Arial"/>
        </w:rPr>
      </w:pPr>
      <w:r w:rsidRPr="000A5FB1">
        <w:rPr>
          <w:rFonts w:ascii="Arial" w:hAnsi="Arial" w:cs="Arial"/>
        </w:rPr>
        <w:t xml:space="preserve">The ALJ shall attempt to follow these calendar-day milestones in an effort to ensure the following minimum number of days: </w:t>
      </w:r>
    </w:p>
    <w:p w14:paraId="3FDA9F9B" w14:textId="77777777" w:rsidR="000A5FB1" w:rsidRPr="000A5FB1" w:rsidRDefault="000A5FB1" w:rsidP="000A5FB1">
      <w:pPr>
        <w:spacing w:after="0" w:line="240" w:lineRule="auto"/>
        <w:rPr>
          <w:rFonts w:ascii="Arial" w:hAnsi="Arial" w:cs="Arial"/>
        </w:rPr>
      </w:pPr>
    </w:p>
    <w:p w14:paraId="4F2A3510" w14:textId="77777777" w:rsidR="000A5FB1" w:rsidRPr="000A5FB1" w:rsidRDefault="000A5FB1" w:rsidP="000A5FB1">
      <w:pPr>
        <w:numPr>
          <w:ilvl w:val="0"/>
          <w:numId w:val="6"/>
        </w:numPr>
        <w:spacing w:after="0" w:line="240" w:lineRule="auto"/>
        <w:rPr>
          <w:rFonts w:ascii="Arial" w:hAnsi="Arial" w:cs="Arial"/>
        </w:rPr>
      </w:pPr>
      <w:r w:rsidRPr="000A5FB1">
        <w:rPr>
          <w:rFonts w:ascii="Arial" w:hAnsi="Arial" w:cs="Arial"/>
        </w:rPr>
        <w:t xml:space="preserve">120 calendar days between the date of the utility rate case application and the date of the Staff/Intervenor Testimony.  </w:t>
      </w:r>
    </w:p>
    <w:p w14:paraId="21428FCA" w14:textId="77777777" w:rsidR="000A5FB1" w:rsidRPr="000A5FB1" w:rsidRDefault="000A5FB1" w:rsidP="000A5FB1">
      <w:pPr>
        <w:spacing w:after="0" w:line="240" w:lineRule="auto"/>
        <w:rPr>
          <w:rFonts w:ascii="Arial" w:hAnsi="Arial" w:cs="Arial"/>
        </w:rPr>
      </w:pPr>
    </w:p>
    <w:p w14:paraId="1192FE38" w14:textId="77777777" w:rsidR="000A5FB1" w:rsidRDefault="000A5FB1" w:rsidP="000A5FB1">
      <w:pPr>
        <w:numPr>
          <w:ilvl w:val="0"/>
          <w:numId w:val="6"/>
        </w:numPr>
        <w:spacing w:after="0" w:line="240" w:lineRule="auto"/>
        <w:rPr>
          <w:rFonts w:ascii="Arial" w:hAnsi="Arial" w:cs="Arial"/>
        </w:rPr>
      </w:pPr>
      <w:r w:rsidRPr="000A5FB1">
        <w:rPr>
          <w:rFonts w:ascii="Arial" w:hAnsi="Arial" w:cs="Arial"/>
        </w:rPr>
        <w:t>21 calendar days between the date of Staff/Intervenor Testimony and the date of Rebuttal Testimony.</w:t>
      </w:r>
    </w:p>
    <w:p w14:paraId="7D40DDB2" w14:textId="77777777" w:rsidR="000A5FB1" w:rsidRDefault="000A5FB1" w:rsidP="000A5FB1">
      <w:pPr>
        <w:spacing w:after="0" w:line="240" w:lineRule="auto"/>
        <w:ind w:left="720"/>
        <w:rPr>
          <w:rFonts w:ascii="Arial" w:hAnsi="Arial" w:cs="Arial"/>
        </w:rPr>
      </w:pPr>
    </w:p>
    <w:p w14:paraId="4129D799" w14:textId="3C86030E" w:rsidR="000A5FB1" w:rsidRPr="000A5FB1" w:rsidRDefault="000A5FB1" w:rsidP="000A5FB1">
      <w:pPr>
        <w:numPr>
          <w:ilvl w:val="0"/>
          <w:numId w:val="6"/>
        </w:numPr>
        <w:spacing w:after="0" w:line="240" w:lineRule="auto"/>
        <w:rPr>
          <w:rFonts w:ascii="Arial" w:hAnsi="Arial" w:cs="Arial"/>
        </w:rPr>
      </w:pPr>
      <w:r>
        <w:rPr>
          <w:rFonts w:ascii="Arial" w:hAnsi="Arial" w:cs="Arial"/>
        </w:rPr>
        <w:t>12 calendar days between the date of Rebuttal Testimony and the first day of Cross Examination.</w:t>
      </w:r>
    </w:p>
    <w:p w14:paraId="4F2F68E9" w14:textId="77777777" w:rsidR="000A5FB1" w:rsidRPr="000A5FB1" w:rsidRDefault="000A5FB1" w:rsidP="000A5FB1">
      <w:pPr>
        <w:spacing w:after="0" w:line="240" w:lineRule="auto"/>
        <w:rPr>
          <w:rFonts w:ascii="Arial" w:hAnsi="Arial" w:cs="Arial"/>
        </w:rPr>
      </w:pPr>
    </w:p>
    <w:p w14:paraId="68D87FD2" w14:textId="77777777" w:rsidR="000A5FB1" w:rsidRPr="000A5FB1" w:rsidRDefault="000A5FB1" w:rsidP="000A5FB1">
      <w:pPr>
        <w:numPr>
          <w:ilvl w:val="0"/>
          <w:numId w:val="6"/>
        </w:numPr>
        <w:spacing w:after="0" w:line="240" w:lineRule="auto"/>
        <w:rPr>
          <w:rFonts w:ascii="Arial" w:hAnsi="Arial" w:cs="Arial"/>
        </w:rPr>
      </w:pPr>
      <w:r w:rsidRPr="000A5FB1">
        <w:rPr>
          <w:rFonts w:ascii="Arial" w:hAnsi="Arial" w:cs="Arial"/>
        </w:rPr>
        <w:t>33 calendar days between the date of Replies to Exceptions to the PFD and the date of the Statutory Deadline.</w:t>
      </w:r>
    </w:p>
    <w:p w14:paraId="7CFBE7C0" w14:textId="77777777" w:rsidR="000A5FB1" w:rsidRPr="000A5FB1" w:rsidRDefault="000A5FB1" w:rsidP="000A5FB1">
      <w:pPr>
        <w:spacing w:after="0" w:line="240" w:lineRule="auto"/>
        <w:rPr>
          <w:rFonts w:ascii="Arial" w:hAnsi="Arial" w:cs="Arial"/>
        </w:rPr>
      </w:pPr>
    </w:p>
    <w:p w14:paraId="4615E366" w14:textId="736DAAFE" w:rsidR="00F823D8" w:rsidRDefault="000A5FB1" w:rsidP="00F823D8">
      <w:pPr>
        <w:spacing w:after="0" w:line="240" w:lineRule="auto"/>
        <w:rPr>
          <w:rFonts w:ascii="Arial" w:hAnsi="Arial" w:cs="Arial"/>
        </w:rPr>
      </w:pPr>
      <w:r w:rsidRPr="000A5FB1">
        <w:rPr>
          <w:rFonts w:ascii="Arial" w:hAnsi="Arial" w:cs="Arial"/>
        </w:rPr>
        <w:t xml:space="preserve">In the ALJ’s discretion, the ALJ may increase the number of calendar days between these dates.  </w:t>
      </w:r>
      <w:r w:rsidR="00F823D8" w:rsidRPr="00295012">
        <w:rPr>
          <w:rFonts w:ascii="Arial" w:hAnsi="Arial" w:cs="Arial"/>
        </w:rPr>
        <w:t xml:space="preserve">In addition, the administrative law judges are directed to take appropriate actions to ensure that evidentiary hearings proceed in an organized and effective fashion.  In addition to other actions the administrative law judge believes will achieve that goal, the administrative law judge </w:t>
      </w:r>
      <w:r w:rsidR="00CC327D">
        <w:rPr>
          <w:rFonts w:ascii="Arial" w:hAnsi="Arial" w:cs="Arial"/>
        </w:rPr>
        <w:t xml:space="preserve">may </w:t>
      </w:r>
      <w:r w:rsidR="00F823D8" w:rsidRPr="00295012">
        <w:rPr>
          <w:rFonts w:ascii="Arial" w:hAnsi="Arial" w:cs="Arial"/>
        </w:rPr>
        <w:t xml:space="preserve">require the parties to identify prior to commencement of cross-examination the issues that the party intends to pursue during cross-examination.  The Commission concludes </w:t>
      </w:r>
      <w:r w:rsidR="00F823D8" w:rsidRPr="00295012">
        <w:rPr>
          <w:rFonts w:ascii="Arial" w:hAnsi="Arial" w:cs="Arial"/>
        </w:rPr>
        <w:lastRenderedPageBreak/>
        <w:t>that doing so in advance of cross-examination will allow a more meaningful and useful evidentiary record to be created.</w:t>
      </w:r>
    </w:p>
    <w:p w14:paraId="50C194A6" w14:textId="77777777" w:rsidR="00295012" w:rsidRDefault="00295012" w:rsidP="00F823D8">
      <w:pPr>
        <w:spacing w:after="0" w:line="240" w:lineRule="auto"/>
        <w:rPr>
          <w:rFonts w:ascii="Arial" w:hAnsi="Arial" w:cs="Arial"/>
        </w:rPr>
      </w:pPr>
    </w:p>
    <w:p w14:paraId="21BA6B76" w14:textId="77777777" w:rsidR="00571FEA" w:rsidRDefault="00571FEA" w:rsidP="00F823D8">
      <w:pPr>
        <w:spacing w:after="0" w:line="240" w:lineRule="auto"/>
        <w:rPr>
          <w:rFonts w:ascii="Arial" w:hAnsi="Arial" w:cs="Arial"/>
        </w:rPr>
      </w:pPr>
    </w:p>
    <w:p w14:paraId="700E5EEC" w14:textId="4B0B0068" w:rsidR="009415F4" w:rsidRPr="00571FEA" w:rsidRDefault="009415F4" w:rsidP="00F823D8">
      <w:pPr>
        <w:spacing w:after="0" w:line="240" w:lineRule="auto"/>
        <w:rPr>
          <w:rFonts w:ascii="Arial" w:hAnsi="Arial" w:cs="Arial"/>
          <w:b/>
          <w:u w:val="single"/>
        </w:rPr>
      </w:pPr>
      <w:r w:rsidRPr="00571FEA">
        <w:rPr>
          <w:rFonts w:ascii="Arial" w:hAnsi="Arial" w:cs="Arial"/>
          <w:b/>
          <w:u w:val="single"/>
        </w:rPr>
        <w:t>Discovery Guidelines</w:t>
      </w:r>
    </w:p>
    <w:p w14:paraId="725C7194" w14:textId="77777777" w:rsidR="009415F4" w:rsidRPr="00295012" w:rsidRDefault="009415F4" w:rsidP="00F823D8">
      <w:pPr>
        <w:spacing w:after="0" w:line="240" w:lineRule="auto"/>
        <w:rPr>
          <w:rFonts w:ascii="Arial" w:hAnsi="Arial" w:cs="Arial"/>
        </w:rPr>
      </w:pPr>
    </w:p>
    <w:p w14:paraId="551FFAE3" w14:textId="77777777" w:rsidR="009415F4" w:rsidRDefault="00F823D8" w:rsidP="00F823D8">
      <w:pPr>
        <w:spacing w:after="0" w:line="240" w:lineRule="auto"/>
        <w:rPr>
          <w:rFonts w:ascii="Arial" w:hAnsi="Arial" w:cs="Arial"/>
        </w:rPr>
      </w:pPr>
      <w:r w:rsidRPr="00295012">
        <w:rPr>
          <w:rFonts w:ascii="Arial" w:hAnsi="Arial" w:cs="Arial"/>
        </w:rPr>
        <w:t>The Administrative Law Judge shall adopt discovery practices that will promote the expeditious processing of a filing.</w:t>
      </w:r>
      <w:r w:rsidR="00B60729">
        <w:rPr>
          <w:rFonts w:ascii="Arial" w:hAnsi="Arial" w:cs="Arial"/>
        </w:rPr>
        <w:t xml:space="preserve">  Unless the ALJ determines that a different discovery turnaround time is more appropriate, discovery </w:t>
      </w:r>
      <w:r w:rsidR="000D0691">
        <w:rPr>
          <w:rFonts w:ascii="Arial" w:hAnsi="Arial" w:cs="Arial"/>
        </w:rPr>
        <w:t xml:space="preserve">responses shall be provided within </w:t>
      </w:r>
      <w:r w:rsidR="000D0691" w:rsidRPr="000D0691">
        <w:rPr>
          <w:rFonts w:ascii="Arial" w:hAnsi="Arial" w:cs="Arial"/>
        </w:rPr>
        <w:t>8 business days, best efforts prior to Staff/Intervenor filing and 5 business days, best efforts after Staff/Intervenor filing</w:t>
      </w:r>
      <w:r w:rsidR="000D0691">
        <w:rPr>
          <w:rFonts w:ascii="Arial" w:hAnsi="Arial" w:cs="Arial"/>
        </w:rPr>
        <w:t>.</w:t>
      </w:r>
    </w:p>
    <w:p w14:paraId="4D1E547C" w14:textId="77777777" w:rsidR="009415F4" w:rsidRDefault="009415F4" w:rsidP="00F823D8">
      <w:pPr>
        <w:spacing w:after="0" w:line="240" w:lineRule="auto"/>
        <w:rPr>
          <w:rFonts w:ascii="Arial" w:hAnsi="Arial" w:cs="Arial"/>
        </w:rPr>
      </w:pPr>
    </w:p>
    <w:p w14:paraId="404B4E8F" w14:textId="77777777" w:rsidR="00533D7C" w:rsidRPr="00295012" w:rsidRDefault="00533D7C" w:rsidP="00F823D8">
      <w:pPr>
        <w:spacing w:after="0" w:line="240" w:lineRule="auto"/>
        <w:rPr>
          <w:rFonts w:ascii="Arial" w:hAnsi="Arial" w:cs="Arial"/>
        </w:rPr>
      </w:pPr>
    </w:p>
    <w:sectPr w:rsidR="00533D7C" w:rsidRPr="002950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6559D" w14:textId="77777777" w:rsidR="00040BDC" w:rsidRDefault="00040BDC" w:rsidP="004751C9">
      <w:pPr>
        <w:spacing w:after="0" w:line="240" w:lineRule="auto"/>
      </w:pPr>
      <w:r>
        <w:separator/>
      </w:r>
    </w:p>
  </w:endnote>
  <w:endnote w:type="continuationSeparator" w:id="0">
    <w:p w14:paraId="543BB45A" w14:textId="77777777" w:rsidR="00040BDC" w:rsidRDefault="00040BDC" w:rsidP="0047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208142"/>
      <w:docPartObj>
        <w:docPartGallery w:val="Page Numbers (Bottom of Page)"/>
        <w:docPartUnique/>
      </w:docPartObj>
    </w:sdtPr>
    <w:sdtEndPr>
      <w:rPr>
        <w:noProof/>
      </w:rPr>
    </w:sdtEndPr>
    <w:sdtContent>
      <w:p w14:paraId="4B1FAFEE" w14:textId="77777777" w:rsidR="00F823D8" w:rsidRDefault="00F823D8">
        <w:pPr>
          <w:pStyle w:val="Footer"/>
          <w:jc w:val="center"/>
        </w:pPr>
        <w:r>
          <w:fldChar w:fldCharType="begin"/>
        </w:r>
        <w:r>
          <w:instrText xml:space="preserve"> PAGE   \* MERGEFORMAT </w:instrText>
        </w:r>
        <w:r>
          <w:fldChar w:fldCharType="separate"/>
        </w:r>
        <w:r w:rsidR="009528FA">
          <w:rPr>
            <w:noProof/>
          </w:rPr>
          <w:t>6</w:t>
        </w:r>
        <w:r>
          <w:rPr>
            <w:noProof/>
          </w:rPr>
          <w:fldChar w:fldCharType="end"/>
        </w:r>
      </w:p>
    </w:sdtContent>
  </w:sdt>
  <w:p w14:paraId="19AD0F36" w14:textId="77777777" w:rsidR="00F823D8" w:rsidRDefault="00F82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F8B3B" w14:textId="77777777" w:rsidR="00040BDC" w:rsidRDefault="00040BDC" w:rsidP="004751C9">
      <w:pPr>
        <w:spacing w:after="0" w:line="240" w:lineRule="auto"/>
      </w:pPr>
      <w:r>
        <w:separator/>
      </w:r>
    </w:p>
  </w:footnote>
  <w:footnote w:type="continuationSeparator" w:id="0">
    <w:p w14:paraId="1DA10269" w14:textId="77777777" w:rsidR="00040BDC" w:rsidRDefault="00040BDC" w:rsidP="00475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4F09E" w14:textId="40D87335" w:rsidR="00646A8A" w:rsidRDefault="00646A8A" w:rsidP="00646A8A">
    <w:pPr>
      <w:pStyle w:val="Header"/>
      <w:jc w:val="right"/>
      <w:rPr>
        <w:sz w:val="24"/>
        <w:szCs w:val="24"/>
      </w:rPr>
    </w:pPr>
    <w:r w:rsidRPr="00646A8A">
      <w:rPr>
        <w:sz w:val="24"/>
        <w:szCs w:val="24"/>
      </w:rPr>
      <w:t>Part I</w:t>
    </w:r>
    <w:r>
      <w:rPr>
        <w:sz w:val="24"/>
        <w:szCs w:val="24"/>
      </w:rPr>
      <w:t xml:space="preserve"> – Instructions</w:t>
    </w:r>
  </w:p>
  <w:p w14:paraId="17AEE39A" w14:textId="77777777" w:rsidR="00646A8A" w:rsidRPr="00646A8A" w:rsidRDefault="00646A8A" w:rsidP="00646A8A">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505"/>
    <w:multiLevelType w:val="multilevel"/>
    <w:tmpl w:val="6BF27CE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388F0B0F"/>
    <w:multiLevelType w:val="hybridMultilevel"/>
    <w:tmpl w:val="F694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775F0"/>
    <w:multiLevelType w:val="hybridMultilevel"/>
    <w:tmpl w:val="8FF0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A13FD"/>
    <w:multiLevelType w:val="hybridMultilevel"/>
    <w:tmpl w:val="0806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55535"/>
    <w:multiLevelType w:val="hybridMultilevel"/>
    <w:tmpl w:val="4758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B640D"/>
    <w:multiLevelType w:val="hybridMultilevel"/>
    <w:tmpl w:val="2B5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16"/>
    <w:rsid w:val="000115A7"/>
    <w:rsid w:val="00016759"/>
    <w:rsid w:val="00020387"/>
    <w:rsid w:val="000203E5"/>
    <w:rsid w:val="000267A5"/>
    <w:rsid w:val="00036217"/>
    <w:rsid w:val="0003794D"/>
    <w:rsid w:val="00040BDC"/>
    <w:rsid w:val="00041E4D"/>
    <w:rsid w:val="0005608D"/>
    <w:rsid w:val="000658D2"/>
    <w:rsid w:val="0007269C"/>
    <w:rsid w:val="00083CB7"/>
    <w:rsid w:val="000847FF"/>
    <w:rsid w:val="00096F9F"/>
    <w:rsid w:val="000A5FB1"/>
    <w:rsid w:val="000C7A5A"/>
    <w:rsid w:val="000D0691"/>
    <w:rsid w:val="000D2AFC"/>
    <w:rsid w:val="000D308B"/>
    <w:rsid w:val="000E5B14"/>
    <w:rsid w:val="00101A59"/>
    <w:rsid w:val="00103DD5"/>
    <w:rsid w:val="00104F19"/>
    <w:rsid w:val="0014274D"/>
    <w:rsid w:val="001514D5"/>
    <w:rsid w:val="00181270"/>
    <w:rsid w:val="0019298C"/>
    <w:rsid w:val="001929B3"/>
    <w:rsid w:val="001D5B47"/>
    <w:rsid w:val="001F20CB"/>
    <w:rsid w:val="001F4DE9"/>
    <w:rsid w:val="00212620"/>
    <w:rsid w:val="00233391"/>
    <w:rsid w:val="00253FAD"/>
    <w:rsid w:val="00263FA2"/>
    <w:rsid w:val="00276F71"/>
    <w:rsid w:val="00291F08"/>
    <w:rsid w:val="00295012"/>
    <w:rsid w:val="002A4D05"/>
    <w:rsid w:val="002C7846"/>
    <w:rsid w:val="002F0317"/>
    <w:rsid w:val="003027CF"/>
    <w:rsid w:val="0030579C"/>
    <w:rsid w:val="0031497F"/>
    <w:rsid w:val="003226FE"/>
    <w:rsid w:val="00366D6C"/>
    <w:rsid w:val="003731F3"/>
    <w:rsid w:val="00387D5D"/>
    <w:rsid w:val="003F3B95"/>
    <w:rsid w:val="00430EE0"/>
    <w:rsid w:val="004340FC"/>
    <w:rsid w:val="004522FE"/>
    <w:rsid w:val="004527AA"/>
    <w:rsid w:val="00455FDC"/>
    <w:rsid w:val="004751C9"/>
    <w:rsid w:val="004A028A"/>
    <w:rsid w:val="004A080D"/>
    <w:rsid w:val="004B7DDB"/>
    <w:rsid w:val="004C6D8D"/>
    <w:rsid w:val="004D01F6"/>
    <w:rsid w:val="004D1992"/>
    <w:rsid w:val="004E5FD8"/>
    <w:rsid w:val="004F674B"/>
    <w:rsid w:val="00505D46"/>
    <w:rsid w:val="00506B09"/>
    <w:rsid w:val="00515B95"/>
    <w:rsid w:val="005239B9"/>
    <w:rsid w:val="00533D7C"/>
    <w:rsid w:val="00547050"/>
    <w:rsid w:val="0057021E"/>
    <w:rsid w:val="00571FEA"/>
    <w:rsid w:val="005815CC"/>
    <w:rsid w:val="005866CD"/>
    <w:rsid w:val="005A2DC8"/>
    <w:rsid w:val="005A3755"/>
    <w:rsid w:val="005A52F0"/>
    <w:rsid w:val="005B07F7"/>
    <w:rsid w:val="005D63A3"/>
    <w:rsid w:val="005D7E8F"/>
    <w:rsid w:val="005F4C12"/>
    <w:rsid w:val="00601F85"/>
    <w:rsid w:val="006105F3"/>
    <w:rsid w:val="00611D99"/>
    <w:rsid w:val="00646A8A"/>
    <w:rsid w:val="00652BF0"/>
    <w:rsid w:val="0068528B"/>
    <w:rsid w:val="00697F16"/>
    <w:rsid w:val="006B3C48"/>
    <w:rsid w:val="006C352B"/>
    <w:rsid w:val="006E1804"/>
    <w:rsid w:val="006E18DB"/>
    <w:rsid w:val="00702159"/>
    <w:rsid w:val="00716C61"/>
    <w:rsid w:val="00743158"/>
    <w:rsid w:val="00763EE9"/>
    <w:rsid w:val="007B3435"/>
    <w:rsid w:val="007C558E"/>
    <w:rsid w:val="007D1DC5"/>
    <w:rsid w:val="007F1F39"/>
    <w:rsid w:val="008157A2"/>
    <w:rsid w:val="00867B41"/>
    <w:rsid w:val="008756D5"/>
    <w:rsid w:val="00886E8B"/>
    <w:rsid w:val="00892374"/>
    <w:rsid w:val="00894B97"/>
    <w:rsid w:val="008A5142"/>
    <w:rsid w:val="008C0418"/>
    <w:rsid w:val="008D552D"/>
    <w:rsid w:val="008F0527"/>
    <w:rsid w:val="008F07F2"/>
    <w:rsid w:val="009055B4"/>
    <w:rsid w:val="00911D72"/>
    <w:rsid w:val="009415F4"/>
    <w:rsid w:val="009528FA"/>
    <w:rsid w:val="00966114"/>
    <w:rsid w:val="00975A0B"/>
    <w:rsid w:val="009B5BA6"/>
    <w:rsid w:val="009C09BE"/>
    <w:rsid w:val="00A0434B"/>
    <w:rsid w:val="00A16156"/>
    <w:rsid w:val="00A26F13"/>
    <w:rsid w:val="00A50D34"/>
    <w:rsid w:val="00A57CE1"/>
    <w:rsid w:val="00A61702"/>
    <w:rsid w:val="00A85B3A"/>
    <w:rsid w:val="00A90FA6"/>
    <w:rsid w:val="00A92AC2"/>
    <w:rsid w:val="00AD6834"/>
    <w:rsid w:val="00AE1264"/>
    <w:rsid w:val="00AE5630"/>
    <w:rsid w:val="00AF38C5"/>
    <w:rsid w:val="00AF6936"/>
    <w:rsid w:val="00B05D18"/>
    <w:rsid w:val="00B077D1"/>
    <w:rsid w:val="00B10FFC"/>
    <w:rsid w:val="00B35FD7"/>
    <w:rsid w:val="00B36837"/>
    <w:rsid w:val="00B3756E"/>
    <w:rsid w:val="00B60430"/>
    <w:rsid w:val="00B60729"/>
    <w:rsid w:val="00B60F59"/>
    <w:rsid w:val="00B621D4"/>
    <w:rsid w:val="00B815A6"/>
    <w:rsid w:val="00B938D5"/>
    <w:rsid w:val="00BA5965"/>
    <w:rsid w:val="00BA7C2A"/>
    <w:rsid w:val="00BB2B8F"/>
    <w:rsid w:val="00BC1618"/>
    <w:rsid w:val="00BC431C"/>
    <w:rsid w:val="00BD6774"/>
    <w:rsid w:val="00BF15B2"/>
    <w:rsid w:val="00BF47CA"/>
    <w:rsid w:val="00BF489B"/>
    <w:rsid w:val="00C00E0F"/>
    <w:rsid w:val="00C34138"/>
    <w:rsid w:val="00C35FD5"/>
    <w:rsid w:val="00C442DD"/>
    <w:rsid w:val="00C74C82"/>
    <w:rsid w:val="00CC24AB"/>
    <w:rsid w:val="00CC327D"/>
    <w:rsid w:val="00CC6DC7"/>
    <w:rsid w:val="00D06E9E"/>
    <w:rsid w:val="00D4063A"/>
    <w:rsid w:val="00D475B4"/>
    <w:rsid w:val="00D53E3F"/>
    <w:rsid w:val="00D56AD5"/>
    <w:rsid w:val="00D83B9C"/>
    <w:rsid w:val="00D92FE7"/>
    <w:rsid w:val="00D944FB"/>
    <w:rsid w:val="00D96DEE"/>
    <w:rsid w:val="00DA35A2"/>
    <w:rsid w:val="00DA3E20"/>
    <w:rsid w:val="00DA6B45"/>
    <w:rsid w:val="00DB3D7C"/>
    <w:rsid w:val="00DD023D"/>
    <w:rsid w:val="00DE2CAA"/>
    <w:rsid w:val="00DE7093"/>
    <w:rsid w:val="00DF25D6"/>
    <w:rsid w:val="00DF4718"/>
    <w:rsid w:val="00E37529"/>
    <w:rsid w:val="00E44D86"/>
    <w:rsid w:val="00E46DAF"/>
    <w:rsid w:val="00E47EA5"/>
    <w:rsid w:val="00E859E4"/>
    <w:rsid w:val="00E90A7E"/>
    <w:rsid w:val="00EA0BF6"/>
    <w:rsid w:val="00F1205B"/>
    <w:rsid w:val="00F65B12"/>
    <w:rsid w:val="00F823D8"/>
    <w:rsid w:val="00FA7CDA"/>
    <w:rsid w:val="00FE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3B6"/>
  <w15:chartTrackingRefBased/>
  <w15:docId w15:val="{3A924E3D-4D0F-4BB1-ACAC-BE839897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1C9"/>
  </w:style>
  <w:style w:type="paragraph" w:styleId="Footer">
    <w:name w:val="footer"/>
    <w:basedOn w:val="Normal"/>
    <w:link w:val="FooterChar"/>
    <w:uiPriority w:val="99"/>
    <w:unhideWhenUsed/>
    <w:rsid w:val="00475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1C9"/>
  </w:style>
  <w:style w:type="paragraph" w:styleId="ListParagraph">
    <w:name w:val="List Paragraph"/>
    <w:basedOn w:val="Normal"/>
    <w:uiPriority w:val="34"/>
    <w:qFormat/>
    <w:rsid w:val="00430EE0"/>
    <w:pPr>
      <w:ind w:left="720"/>
      <w:contextualSpacing/>
    </w:pPr>
  </w:style>
  <w:style w:type="paragraph" w:styleId="BalloonText">
    <w:name w:val="Balloon Text"/>
    <w:basedOn w:val="Normal"/>
    <w:link w:val="BalloonTextChar"/>
    <w:uiPriority w:val="99"/>
    <w:semiHidden/>
    <w:unhideWhenUsed/>
    <w:rsid w:val="00506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B09"/>
    <w:rPr>
      <w:rFonts w:ascii="Segoe UI" w:hAnsi="Segoe UI" w:cs="Segoe UI"/>
      <w:sz w:val="18"/>
      <w:szCs w:val="18"/>
    </w:rPr>
  </w:style>
  <w:style w:type="paragraph" w:styleId="NormalWeb">
    <w:name w:val="Normal (Web)"/>
    <w:basedOn w:val="Normal"/>
    <w:uiPriority w:val="99"/>
    <w:semiHidden/>
    <w:unhideWhenUsed/>
    <w:rsid w:val="0014274D"/>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90A7E"/>
    <w:rPr>
      <w:sz w:val="16"/>
      <w:szCs w:val="16"/>
    </w:rPr>
  </w:style>
  <w:style w:type="paragraph" w:styleId="CommentText">
    <w:name w:val="annotation text"/>
    <w:basedOn w:val="Normal"/>
    <w:link w:val="CommentTextChar"/>
    <w:uiPriority w:val="99"/>
    <w:semiHidden/>
    <w:unhideWhenUsed/>
    <w:rsid w:val="00E90A7E"/>
    <w:pPr>
      <w:spacing w:line="240" w:lineRule="auto"/>
    </w:pPr>
    <w:rPr>
      <w:sz w:val="20"/>
      <w:szCs w:val="20"/>
    </w:rPr>
  </w:style>
  <w:style w:type="character" w:customStyle="1" w:styleId="CommentTextChar">
    <w:name w:val="Comment Text Char"/>
    <w:basedOn w:val="DefaultParagraphFont"/>
    <w:link w:val="CommentText"/>
    <w:uiPriority w:val="99"/>
    <w:semiHidden/>
    <w:rsid w:val="00E90A7E"/>
    <w:rPr>
      <w:sz w:val="20"/>
      <w:szCs w:val="20"/>
    </w:rPr>
  </w:style>
  <w:style w:type="paragraph" w:styleId="CommentSubject">
    <w:name w:val="annotation subject"/>
    <w:basedOn w:val="CommentText"/>
    <w:next w:val="CommentText"/>
    <w:link w:val="CommentSubjectChar"/>
    <w:uiPriority w:val="99"/>
    <w:semiHidden/>
    <w:unhideWhenUsed/>
    <w:rsid w:val="00E90A7E"/>
    <w:rPr>
      <w:b/>
      <w:bCs/>
    </w:rPr>
  </w:style>
  <w:style w:type="character" w:customStyle="1" w:styleId="CommentSubjectChar">
    <w:name w:val="Comment Subject Char"/>
    <w:basedOn w:val="CommentTextChar"/>
    <w:link w:val="CommentSubject"/>
    <w:uiPriority w:val="99"/>
    <w:semiHidden/>
    <w:rsid w:val="00E90A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9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734B0743</Template>
  <TotalTime>383</TotalTime>
  <Pages>6</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Jennifer (LARA)</dc:creator>
  <cp:keywords/>
  <dc:description/>
  <cp:lastModifiedBy>Stosik, Bill (LARA)</cp:lastModifiedBy>
  <cp:revision>43</cp:revision>
  <cp:lastPrinted>2017-06-05T13:55:00Z</cp:lastPrinted>
  <dcterms:created xsi:type="dcterms:W3CDTF">2017-05-30T13:47:00Z</dcterms:created>
  <dcterms:modified xsi:type="dcterms:W3CDTF">2017-08-08T13:24:00Z</dcterms:modified>
</cp:coreProperties>
</file>