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6D4B" w14:textId="7A7DF49F" w:rsidR="00860857" w:rsidRDefault="001A7165">
      <w:pPr>
        <w:spacing w:after="2" w:line="268" w:lineRule="auto"/>
        <w:ind w:left="-5" w:right="1170" w:hanging="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211DDC" wp14:editId="0A422E10">
                <wp:simplePos x="0" y="0"/>
                <wp:positionH relativeFrom="column">
                  <wp:posOffset>4030980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3459" w14:textId="77777777" w:rsidR="001A7165" w:rsidRDefault="001A7165"/>
                          <w:p w14:paraId="7D5F4606" w14:textId="53ACBD47" w:rsidR="001A7165" w:rsidRDefault="001A7165">
                            <w:r>
                              <w:t>Patient Name:</w:t>
                            </w:r>
                          </w:p>
                          <w:p w14:paraId="444DEFEE" w14:textId="76B49ACA" w:rsidR="001A7165" w:rsidRDefault="001A7165">
                            <w:r>
                              <w:t>Date of Birth:</w:t>
                            </w:r>
                          </w:p>
                          <w:p w14:paraId="09A32AC7" w14:textId="77777777" w:rsidR="001A7165" w:rsidRDefault="001A71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11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" strokeweight="1pt">
                <v:textbox style="mso-fit-shape-to-text:t">
                  <w:txbxContent>
                    <w:p w14:paraId="24E63459" w14:textId="77777777" w:rsidR="001A7165" w:rsidRDefault="001A7165"/>
                    <w:p w14:paraId="7D5F4606" w14:textId="53ACBD47" w:rsidR="001A7165" w:rsidRDefault="001A7165">
                      <w:r>
                        <w:t>Patient Name:</w:t>
                      </w:r>
                    </w:p>
                    <w:p w14:paraId="444DEFEE" w14:textId="76B49ACA" w:rsidR="001A7165" w:rsidRDefault="001A7165">
                      <w:r>
                        <w:t>Date of Birth:</w:t>
                      </w:r>
                    </w:p>
                    <w:p w14:paraId="09A32AC7" w14:textId="77777777" w:rsidR="001A7165" w:rsidRDefault="001A7165"/>
                  </w:txbxContent>
                </v:textbox>
                <w10:wrap type="square"/>
              </v:shape>
            </w:pict>
          </mc:Fallback>
        </mc:AlternateContent>
      </w:r>
      <w:r w:rsidR="00F25D77">
        <w:t>Program Logo</w:t>
      </w:r>
    </w:p>
    <w:p w14:paraId="707482CC" w14:textId="1E282F4F" w:rsidR="00860857" w:rsidRDefault="00860857">
      <w:pPr>
        <w:spacing w:after="2" w:line="268" w:lineRule="auto"/>
        <w:ind w:left="-5" w:right="1170" w:hanging="10"/>
      </w:pPr>
    </w:p>
    <w:p w14:paraId="06ABB575" w14:textId="77777777" w:rsidR="001A7165" w:rsidRDefault="001A7165">
      <w:pPr>
        <w:spacing w:after="2" w:line="268" w:lineRule="auto"/>
        <w:ind w:left="-5" w:right="1170" w:hanging="10"/>
      </w:pPr>
    </w:p>
    <w:p w14:paraId="69331FCF" w14:textId="77777777" w:rsidR="00860857" w:rsidRDefault="00860857">
      <w:pPr>
        <w:spacing w:after="2" w:line="268" w:lineRule="auto"/>
        <w:ind w:left="-5" w:right="1170" w:hanging="10"/>
      </w:pPr>
    </w:p>
    <w:p w14:paraId="58ED9250" w14:textId="3712F102" w:rsidR="00F8340C" w:rsidRDefault="00F8340C">
      <w:pPr>
        <w:spacing w:after="0" w:line="259" w:lineRule="auto"/>
        <w:ind w:left="0" w:firstLine="0"/>
      </w:pPr>
    </w:p>
    <w:p w14:paraId="077B42A6" w14:textId="1ED141ED" w:rsidR="00304BE7" w:rsidRDefault="00304BE7">
      <w:pPr>
        <w:spacing w:after="2" w:line="268" w:lineRule="auto"/>
        <w:ind w:left="154" w:right="1170" w:hanging="10"/>
        <w:rPr>
          <w:b/>
          <w:noProof/>
        </w:rPr>
      </w:pPr>
    </w:p>
    <w:p w14:paraId="2B66168B" w14:textId="55AEB7C0" w:rsidR="00304BE7" w:rsidRPr="00B623AD" w:rsidRDefault="00391F0E" w:rsidP="000B6BEF">
      <w:pPr>
        <w:spacing w:after="2" w:line="268" w:lineRule="auto"/>
        <w:ind w:right="1170"/>
        <w:jc w:val="center"/>
        <w:rPr>
          <w:b/>
          <w:noProof/>
          <w:sz w:val="24"/>
          <w:szCs w:val="24"/>
        </w:rPr>
      </w:pPr>
      <w:r w:rsidRPr="00B623AD">
        <w:rPr>
          <w:b/>
          <w:noProof/>
          <w:sz w:val="24"/>
          <w:szCs w:val="24"/>
        </w:rPr>
        <w:t xml:space="preserve">INFORMED CONSENT FOR SILVER DIAMINE FLUORIDE </w:t>
      </w:r>
    </w:p>
    <w:p w14:paraId="2D072A0A" w14:textId="53FED9EC" w:rsidR="000B6BEF" w:rsidRDefault="00B74869">
      <w:pPr>
        <w:spacing w:after="2" w:line="268" w:lineRule="auto"/>
        <w:ind w:left="154" w:right="1170" w:hanging="10"/>
        <w:rPr>
          <w:b/>
          <w:noProof/>
        </w:rPr>
      </w:pPr>
      <w:r w:rsidRPr="00DD5296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7A8CDBAC" wp14:editId="2ED45B31">
            <wp:simplePos x="0" y="0"/>
            <wp:positionH relativeFrom="column">
              <wp:posOffset>5067300</wp:posOffset>
            </wp:positionH>
            <wp:positionV relativeFrom="paragraph">
              <wp:posOffset>125095</wp:posOffset>
            </wp:positionV>
            <wp:extent cx="1706880" cy="1005840"/>
            <wp:effectExtent l="19050" t="19050" r="26670" b="2286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0584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2EEEA" w14:textId="68B0717E" w:rsidR="00F8340C" w:rsidRPr="00DD5296" w:rsidRDefault="00DD5296">
      <w:pPr>
        <w:spacing w:after="2" w:line="268" w:lineRule="auto"/>
        <w:ind w:left="154" w:right="1170" w:hanging="10"/>
        <w:rPr>
          <w:b/>
        </w:rPr>
      </w:pPr>
      <w:r w:rsidRPr="00DD5296">
        <w:rPr>
          <w:b/>
          <w:noProof/>
        </w:rPr>
        <w:t>Facts for consideration:</w:t>
      </w:r>
    </w:p>
    <w:p w14:paraId="4A645768" w14:textId="12F04E52" w:rsidR="00F8340C" w:rsidRDefault="00DD5296">
      <w:pPr>
        <w:numPr>
          <w:ilvl w:val="0"/>
          <w:numId w:val="1"/>
        </w:numPr>
        <w:ind w:right="1170" w:hanging="361"/>
      </w:pPr>
      <w:r>
        <w:t>Silver Diamine Fluoride (SDF) is a liquid that helps stop tooth decay.</w:t>
      </w:r>
      <w:r w:rsidR="000B6BEF">
        <w:t xml:space="preserve"> </w:t>
      </w:r>
      <w:r>
        <w:t>SDF may be applied every 3, 6 or 12 months.</w:t>
      </w:r>
    </w:p>
    <w:p w14:paraId="067A06CE" w14:textId="1BAF05E6" w:rsidR="00F8340C" w:rsidRDefault="00DD5296" w:rsidP="009B6ED4">
      <w:pPr>
        <w:numPr>
          <w:ilvl w:val="0"/>
          <w:numId w:val="1"/>
        </w:numPr>
        <w:spacing w:line="247" w:lineRule="auto"/>
        <w:ind w:hanging="360"/>
      </w:pPr>
      <w:r>
        <w:t>A small amount of SDF may be applied to the decayed tooth area.</w:t>
      </w:r>
      <w:r w:rsidR="009B6ED4">
        <w:tab/>
      </w:r>
      <w:r w:rsidR="009B6ED4">
        <w:tab/>
      </w:r>
    </w:p>
    <w:p w14:paraId="1263AE08" w14:textId="27EC5DDF" w:rsidR="00F8340C" w:rsidRDefault="00DD5296">
      <w:pPr>
        <w:numPr>
          <w:ilvl w:val="0"/>
          <w:numId w:val="1"/>
        </w:numPr>
        <w:ind w:right="1170" w:hanging="361"/>
      </w:pPr>
      <w:r>
        <w:t>After SDF application no eating or drinking for 30 minutes.</w:t>
      </w:r>
    </w:p>
    <w:p w14:paraId="5BB4AE5D" w14:textId="3D9344EC" w:rsidR="00F8340C" w:rsidRDefault="00F8340C" w:rsidP="006E1B06">
      <w:pPr>
        <w:spacing w:after="0" w:line="259" w:lineRule="auto"/>
        <w:ind w:left="0" w:right="1170" w:firstLine="0"/>
      </w:pPr>
    </w:p>
    <w:p w14:paraId="3D920BB0" w14:textId="4A780938" w:rsidR="00F8340C" w:rsidRPr="00DD5296" w:rsidRDefault="00DD5296" w:rsidP="006E1B06">
      <w:pPr>
        <w:spacing w:after="33" w:line="268" w:lineRule="auto"/>
        <w:ind w:left="154" w:hanging="10"/>
        <w:rPr>
          <w:b/>
        </w:rPr>
      </w:pPr>
      <w:r w:rsidRPr="00DD5296">
        <w:rPr>
          <w:b/>
        </w:rPr>
        <w:t>Benefits of receiving SDF:</w:t>
      </w:r>
      <w:r w:rsidR="006E1B06">
        <w:rPr>
          <w:b/>
        </w:rPr>
        <w:tab/>
      </w:r>
      <w:r w:rsidR="006E1B06">
        <w:rPr>
          <w:b/>
        </w:rPr>
        <w:tab/>
      </w:r>
      <w:r w:rsidR="006E1B06">
        <w:rPr>
          <w:b/>
        </w:rPr>
        <w:tab/>
      </w:r>
      <w:r w:rsidR="006E1B06">
        <w:rPr>
          <w:b/>
        </w:rPr>
        <w:tab/>
      </w:r>
      <w:r w:rsidR="006E1B06">
        <w:rPr>
          <w:b/>
        </w:rPr>
        <w:tab/>
      </w:r>
      <w:r w:rsidR="006E1B06">
        <w:rPr>
          <w:b/>
        </w:rPr>
        <w:tab/>
      </w:r>
      <w:r w:rsidR="006E1B06">
        <w:rPr>
          <w:b/>
        </w:rPr>
        <w:tab/>
      </w:r>
      <w:r w:rsidR="006E1B06">
        <w:rPr>
          <w:b/>
        </w:rPr>
        <w:tab/>
      </w:r>
      <w:r w:rsidR="00F83921">
        <w:rPr>
          <w:b/>
        </w:rPr>
        <w:t xml:space="preserve">    </w:t>
      </w:r>
      <w:r w:rsidR="006E1B06">
        <w:t>Pictures of stain from SDF.</w:t>
      </w:r>
    </w:p>
    <w:p w14:paraId="26D739FA" w14:textId="12C8442E" w:rsidR="00F8340C" w:rsidRDefault="006E1B06">
      <w:pPr>
        <w:numPr>
          <w:ilvl w:val="0"/>
          <w:numId w:val="1"/>
        </w:numPr>
        <w:ind w:right="1170" w:hanging="36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759A50" wp14:editId="17B47E77">
            <wp:simplePos x="0" y="0"/>
            <wp:positionH relativeFrom="margin">
              <wp:posOffset>5044440</wp:posOffset>
            </wp:positionH>
            <wp:positionV relativeFrom="paragraph">
              <wp:posOffset>88900</wp:posOffset>
            </wp:positionV>
            <wp:extent cx="1752600" cy="868680"/>
            <wp:effectExtent l="0" t="0" r="0" b="762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296">
        <w:t>Helps stop decay.</w:t>
      </w:r>
      <w:r w:rsidR="008249F6">
        <w:t xml:space="preserve">   </w:t>
      </w:r>
      <w:r w:rsidR="008249F6">
        <w:tab/>
        <w:t xml:space="preserve"> </w:t>
      </w:r>
    </w:p>
    <w:p w14:paraId="29D7F9E6" w14:textId="3C36EB1A" w:rsidR="00F8340C" w:rsidRDefault="00DD5296">
      <w:pPr>
        <w:numPr>
          <w:ilvl w:val="0"/>
          <w:numId w:val="1"/>
        </w:numPr>
        <w:ind w:right="1170" w:hanging="361"/>
      </w:pPr>
      <w:r>
        <w:rPr>
          <w:noProof/>
        </w:rPr>
        <w:t>Fast.</w:t>
      </w:r>
    </w:p>
    <w:p w14:paraId="5D9AAA5E" w14:textId="50EC4461" w:rsidR="00F8340C" w:rsidRDefault="00DD5296">
      <w:pPr>
        <w:numPr>
          <w:ilvl w:val="0"/>
          <w:numId w:val="1"/>
        </w:numPr>
        <w:ind w:right="1170" w:hanging="361"/>
      </w:pPr>
      <w:r>
        <w:t>Do not need to numb, or drill teeth.</w:t>
      </w:r>
    </w:p>
    <w:p w14:paraId="5A067AC1" w14:textId="2C4306E7" w:rsidR="009B6ED4" w:rsidRDefault="00DD5296" w:rsidP="006E1B06">
      <w:pPr>
        <w:numPr>
          <w:ilvl w:val="0"/>
          <w:numId w:val="1"/>
        </w:numPr>
        <w:spacing w:line="247" w:lineRule="auto"/>
        <w:ind w:hanging="360"/>
      </w:pPr>
      <w:r>
        <w:t>Does not hurt.</w:t>
      </w:r>
      <w:r w:rsidR="00304BE7">
        <w:tab/>
      </w:r>
      <w:r w:rsidR="00304BE7">
        <w:tab/>
      </w:r>
      <w:r w:rsidR="00304BE7">
        <w:tab/>
      </w:r>
      <w:r w:rsidR="00304BE7">
        <w:tab/>
      </w:r>
      <w:r w:rsidR="00304BE7">
        <w:tab/>
      </w:r>
      <w:r w:rsidR="00304BE7">
        <w:tab/>
      </w:r>
      <w:r w:rsidR="00304BE7">
        <w:tab/>
        <w:t xml:space="preserve">    </w:t>
      </w:r>
      <w:r w:rsidR="009B6ED4">
        <w:tab/>
      </w:r>
      <w:r w:rsidR="009B6ED4">
        <w:tab/>
      </w:r>
    </w:p>
    <w:p w14:paraId="0EAF53A4" w14:textId="7148E09D" w:rsidR="00DD5296" w:rsidRPr="00DD5296" w:rsidRDefault="00DD5296" w:rsidP="00DD5296">
      <w:pPr>
        <w:ind w:left="201" w:right="1170" w:firstLine="0"/>
        <w:rPr>
          <w:b/>
        </w:rPr>
      </w:pPr>
      <w:r w:rsidRPr="00DD5296">
        <w:rPr>
          <w:b/>
        </w:rPr>
        <w:t>Risks of receiving SDF:</w:t>
      </w:r>
    </w:p>
    <w:p w14:paraId="10F7C7C9" w14:textId="31276BC8" w:rsidR="00DD5296" w:rsidRPr="00DD5296" w:rsidRDefault="00DD5296" w:rsidP="00DD5296">
      <w:pPr>
        <w:pStyle w:val="ListParagraph"/>
        <w:numPr>
          <w:ilvl w:val="0"/>
          <w:numId w:val="1"/>
        </w:numPr>
      </w:pPr>
      <w:r>
        <w:t>Th</w:t>
      </w:r>
      <w:r w:rsidRPr="00DD5296">
        <w:t>e affected area will stain black</w:t>
      </w:r>
      <w:r w:rsidR="000B6BEF">
        <w:t xml:space="preserve"> </w:t>
      </w:r>
      <w:r w:rsidRPr="00DD5296">
        <w:t>permanently.</w:t>
      </w:r>
      <w:r w:rsidR="000B6BEF">
        <w:t xml:space="preserve"> </w:t>
      </w:r>
      <w:r>
        <w:t>This means the SDF is working.</w:t>
      </w:r>
      <w:r w:rsidRPr="00DD5296">
        <w:t xml:space="preserve">  </w:t>
      </w:r>
    </w:p>
    <w:p w14:paraId="591DC5C2" w14:textId="33BBC58C" w:rsidR="00DD5296" w:rsidRDefault="00DD5296">
      <w:pPr>
        <w:numPr>
          <w:ilvl w:val="0"/>
          <w:numId w:val="1"/>
        </w:numPr>
        <w:ind w:right="1170" w:hanging="361"/>
      </w:pPr>
      <w:r>
        <w:t>Tooth-colored fillings and crowns may discolor if SDF is applied to them.</w:t>
      </w:r>
      <w:r w:rsidR="000B6BEF">
        <w:t xml:space="preserve"> </w:t>
      </w:r>
      <w:r>
        <w:t>Healthy tooth structure</w:t>
      </w:r>
      <w:r w:rsidR="001E6994">
        <w:t>s</w:t>
      </w:r>
      <w:r>
        <w:t xml:space="preserve"> will not stain.</w:t>
      </w:r>
    </w:p>
    <w:p w14:paraId="495397E5" w14:textId="334F7543" w:rsidR="00DD5296" w:rsidRDefault="00DD5296">
      <w:pPr>
        <w:numPr>
          <w:ilvl w:val="0"/>
          <w:numId w:val="1"/>
        </w:numPr>
        <w:ind w:right="1170" w:hanging="361"/>
      </w:pPr>
      <w:r>
        <w:t>If accidentally applied to skin or gums, a brown or white stain may appear that causes no harm, cannot be washed off and will dis</w:t>
      </w:r>
      <w:r w:rsidR="008C4943">
        <w:t>appear in one to four weeks.</w:t>
      </w:r>
    </w:p>
    <w:p w14:paraId="0A525154" w14:textId="0F90CBB1" w:rsidR="008C4943" w:rsidRDefault="001E6994">
      <w:pPr>
        <w:numPr>
          <w:ilvl w:val="0"/>
          <w:numId w:val="1"/>
        </w:numPr>
        <w:ind w:right="1170" w:hanging="361"/>
      </w:pPr>
      <w:r>
        <w:t>Could</w:t>
      </w:r>
      <w:r w:rsidR="008C4943">
        <w:t xml:space="preserve"> </w:t>
      </w:r>
      <w:r w:rsidR="00303B97">
        <w:t>p</w:t>
      </w:r>
      <w:r w:rsidR="008C4943">
        <w:t>ermanently stain clothing dark.</w:t>
      </w:r>
    </w:p>
    <w:p w14:paraId="526A36A9" w14:textId="459654C4" w:rsidR="008C4943" w:rsidRDefault="008C4943">
      <w:pPr>
        <w:numPr>
          <w:ilvl w:val="0"/>
          <w:numId w:val="1"/>
        </w:numPr>
        <w:ind w:right="1170" w:hanging="361"/>
      </w:pPr>
      <w:r>
        <w:t>M</w:t>
      </w:r>
      <w:r w:rsidR="001E6994">
        <w:t>ight</w:t>
      </w:r>
      <w:r>
        <w:t xml:space="preserve"> not stop</w:t>
      </w:r>
      <w:r w:rsidR="001E6994">
        <w:t xml:space="preserve"> the</w:t>
      </w:r>
      <w:r>
        <w:t xml:space="preserve"> decay.</w:t>
      </w:r>
      <w:r w:rsidR="000B6BEF">
        <w:t xml:space="preserve"> </w:t>
      </w:r>
      <w:r>
        <w:t xml:space="preserve">Additional SDF may need to be applied </w:t>
      </w:r>
      <w:r w:rsidR="001E6994">
        <w:t xml:space="preserve">on a </w:t>
      </w:r>
      <w:r w:rsidR="00552907">
        <w:t>different</w:t>
      </w:r>
      <w:r w:rsidR="001E6994">
        <w:t xml:space="preserve"> day.</w:t>
      </w:r>
    </w:p>
    <w:p w14:paraId="16974FF1" w14:textId="073CC4DE" w:rsidR="008C4943" w:rsidRDefault="008C4943">
      <w:pPr>
        <w:numPr>
          <w:ilvl w:val="0"/>
          <w:numId w:val="1"/>
        </w:numPr>
        <w:ind w:right="1170" w:hanging="361"/>
      </w:pPr>
      <w:r>
        <w:t>After SDF treatment, a filling or crown might still be needed.</w:t>
      </w:r>
    </w:p>
    <w:p w14:paraId="4159271B" w14:textId="1AC0D0B5" w:rsidR="008C4943" w:rsidRDefault="008C4943">
      <w:pPr>
        <w:numPr>
          <w:ilvl w:val="0"/>
          <w:numId w:val="1"/>
        </w:numPr>
        <w:ind w:right="1170" w:hanging="361"/>
      </w:pPr>
      <w:r>
        <w:t>Not all decay can be treated with SDF.</w:t>
      </w:r>
    </w:p>
    <w:p w14:paraId="2BD79220" w14:textId="684828BB" w:rsidR="00F8340C" w:rsidRDefault="00F8340C">
      <w:pPr>
        <w:spacing w:after="0" w:line="259" w:lineRule="auto"/>
        <w:ind w:left="0" w:firstLine="0"/>
      </w:pPr>
      <w:bookmarkStart w:id="0" w:name="_GoBack"/>
      <w:bookmarkEnd w:id="0"/>
    </w:p>
    <w:p w14:paraId="080D9DDC" w14:textId="20111FC3" w:rsidR="00F8340C" w:rsidRPr="008C4943" w:rsidRDefault="008C4943">
      <w:pPr>
        <w:spacing w:after="2" w:line="268" w:lineRule="auto"/>
        <w:ind w:left="154" w:right="1170" w:hanging="10"/>
        <w:rPr>
          <w:b/>
        </w:rPr>
      </w:pPr>
      <w:r w:rsidRPr="008C4943">
        <w:rPr>
          <w:b/>
        </w:rPr>
        <w:t>Risk if not treated:</w:t>
      </w:r>
    </w:p>
    <w:p w14:paraId="0D6DB84C" w14:textId="09D84858" w:rsidR="00F8340C" w:rsidRDefault="008249F6">
      <w:pPr>
        <w:numPr>
          <w:ilvl w:val="0"/>
          <w:numId w:val="1"/>
        </w:numPr>
        <w:spacing w:after="0"/>
        <w:ind w:right="1170" w:hanging="361"/>
      </w:pPr>
      <w:r>
        <w:t xml:space="preserve">If </w:t>
      </w:r>
      <w:r w:rsidR="008C4943">
        <w:t>decay</w:t>
      </w:r>
      <w:r>
        <w:t xml:space="preserve"> is NOT treated, it </w:t>
      </w:r>
      <w:r w:rsidR="008C4943">
        <w:t>may</w:t>
      </w:r>
      <w:r>
        <w:t xml:space="preserve"> get worse, </w:t>
      </w:r>
      <w:r w:rsidR="000C79B2">
        <w:t>and you may lose</w:t>
      </w:r>
      <w:r>
        <w:t xml:space="preserve"> the tooth </w:t>
      </w:r>
      <w:r w:rsidR="000C79B2">
        <w:t>or may need more</w:t>
      </w:r>
      <w:r>
        <w:t xml:space="preserve"> dental work to save the tooth.  If not treated, you may experience tooth pain or a life-threatening condition. </w:t>
      </w:r>
    </w:p>
    <w:p w14:paraId="4543F800" w14:textId="77777777" w:rsidR="00F8340C" w:rsidRDefault="008249F6">
      <w:pPr>
        <w:spacing w:after="0" w:line="259" w:lineRule="auto"/>
        <w:ind w:left="0" w:firstLine="0"/>
      </w:pPr>
      <w:r>
        <w:t xml:space="preserve"> </w:t>
      </w:r>
    </w:p>
    <w:p w14:paraId="5B8E0146" w14:textId="396D3F2B" w:rsidR="00F8340C" w:rsidRDefault="008249F6">
      <w:pPr>
        <w:spacing w:after="0"/>
        <w:ind w:left="0" w:firstLine="0"/>
      </w:pPr>
      <w:r>
        <w:t>I should not be treated with SDF if 1) I am allergic to silver 2) there are painful sores or raw areas on my gums or anywhere else in my mouth</w:t>
      </w:r>
      <w:r w:rsidR="00B6327B">
        <w:t>.</w:t>
      </w:r>
    </w:p>
    <w:p w14:paraId="71D3BC22" w14:textId="5BF83054" w:rsidR="00F8340C" w:rsidRDefault="00F8340C">
      <w:pPr>
        <w:spacing w:after="0" w:line="259" w:lineRule="auto"/>
        <w:ind w:left="0" w:firstLine="0"/>
      </w:pPr>
    </w:p>
    <w:p w14:paraId="62E55F28" w14:textId="77777777" w:rsidR="00F8340C" w:rsidRDefault="008249F6">
      <w:pPr>
        <w:spacing w:after="0" w:line="259" w:lineRule="auto"/>
        <w:ind w:left="7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D039CA" wp14:editId="5F45CD1A">
                <wp:extent cx="5655564" cy="39624"/>
                <wp:effectExtent l="0" t="0" r="0" b="0"/>
                <wp:docPr id="1040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564" cy="39624"/>
                          <a:chOff x="0" y="0"/>
                          <a:chExt cx="5655564" cy="39624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5655564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564" h="39624">
                                <a:moveTo>
                                  <a:pt x="5655564" y="0"/>
                                </a:moveTo>
                                <a:lnTo>
                                  <a:pt x="5655564" y="10668"/>
                                </a:ln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5655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7E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0" style="width:445.32pt;height:3.12pt;mso-position-horizontal-relative:char;mso-position-vertical-relative:line" coordsize="56555,396">
                <v:shape id="Shape 92" style="position:absolute;width:56555;height:396;left:0;top:0;" coordsize="5655564,39624" path="m5655564,0l5655564,10668l0,39624l0,30480l5655564,0x">
                  <v:stroke weight="0pt" endcap="flat" joinstyle="miter" miterlimit="10" on="false" color="#000000" opacity="0"/>
                  <v:fill on="true" color="#4a7ebb"/>
                </v:shape>
              </v:group>
            </w:pict>
          </mc:Fallback>
        </mc:AlternateContent>
      </w:r>
    </w:p>
    <w:p w14:paraId="0510FDAB" w14:textId="3627F68A" w:rsidR="00F8340C" w:rsidRDefault="008249F6" w:rsidP="00860857">
      <w:pPr>
        <w:spacing w:after="0" w:line="259" w:lineRule="auto"/>
        <w:ind w:left="0" w:right="1585" w:firstLine="0"/>
      </w:pPr>
      <w:r>
        <w:t xml:space="preserve"> </w:t>
      </w:r>
    </w:p>
    <w:p w14:paraId="77E04642" w14:textId="660694B0" w:rsidR="00F8340C" w:rsidRDefault="008249F6">
      <w:pPr>
        <w:spacing w:after="203" w:line="268" w:lineRule="auto"/>
        <w:ind w:left="-5" w:hanging="10"/>
      </w:pPr>
      <w:r>
        <w:t>I HAVE READ AND UNDERSTAND THIS FORM.  ALL OF MY QUESTIONS ABOUT TREATMENT, INCLUDING THE BENEFITS, SIDE EFFECTS</w:t>
      </w:r>
      <w:r w:rsidR="00B6327B">
        <w:t>,</w:t>
      </w:r>
      <w:r>
        <w:t xml:space="preserve"> AND RISKS WERE ANSWERED</w:t>
      </w:r>
      <w:r w:rsidR="00F25D77">
        <w:t>.</w:t>
      </w:r>
    </w:p>
    <w:p w14:paraId="258312AF" w14:textId="021CD857" w:rsidR="00F25D77" w:rsidRDefault="00F25D77">
      <w:pPr>
        <w:spacing w:after="203" w:line="268" w:lineRule="auto"/>
        <w:ind w:left="-5" w:hanging="10"/>
      </w:pPr>
      <w:r>
        <w:t>I consent and authorize _______________________</w:t>
      </w:r>
      <w:r w:rsidR="0082253F">
        <w:t>__________</w:t>
      </w:r>
      <w:r>
        <w:t xml:space="preserve"> to use Silver Diamine Fluoride to help stop tooth decay.</w:t>
      </w:r>
    </w:p>
    <w:p w14:paraId="2892AF5B" w14:textId="77777777" w:rsidR="00860857" w:rsidRPr="00860857" w:rsidRDefault="00860857" w:rsidP="00860857">
      <w:pPr>
        <w:spacing w:after="224"/>
        <w:ind w:left="0" w:right="1206" w:firstLine="0"/>
      </w:pPr>
      <w:r w:rsidRPr="00860857">
        <w:t xml:space="preserve">Patient name: _________________________________ </w:t>
      </w:r>
    </w:p>
    <w:p w14:paraId="1E5DF12E" w14:textId="09C98485" w:rsidR="00860857" w:rsidRPr="00860857" w:rsidRDefault="00860857" w:rsidP="00860857">
      <w:pPr>
        <w:spacing w:after="226"/>
        <w:ind w:left="0" w:right="1206" w:firstLine="0"/>
      </w:pPr>
      <w:r w:rsidRPr="00860857">
        <w:t xml:space="preserve">Parent/Guardian name: ____________________________________________ </w:t>
      </w:r>
    </w:p>
    <w:p w14:paraId="33BD26F9" w14:textId="6958264F" w:rsidR="00F8340C" w:rsidRDefault="00860857" w:rsidP="00860857">
      <w:pPr>
        <w:spacing w:after="222"/>
        <w:ind w:left="0" w:right="1206" w:firstLine="0"/>
      </w:pPr>
      <w:r w:rsidRPr="00860857">
        <w:t xml:space="preserve">Signature: ______________________________________________ Date: ____________ </w:t>
      </w:r>
    </w:p>
    <w:sectPr w:rsidR="00F8340C" w:rsidSect="001A716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F042" w14:textId="77777777" w:rsidR="000B6BEF" w:rsidRDefault="000B6BEF" w:rsidP="000B6BEF">
      <w:pPr>
        <w:spacing w:after="0" w:line="240" w:lineRule="auto"/>
      </w:pPr>
      <w:r>
        <w:separator/>
      </w:r>
    </w:p>
  </w:endnote>
  <w:endnote w:type="continuationSeparator" w:id="0">
    <w:p w14:paraId="34A81A1F" w14:textId="77777777" w:rsidR="000B6BEF" w:rsidRDefault="000B6BEF" w:rsidP="000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D0B0" w14:textId="1AFCBEDD" w:rsidR="000B6BEF" w:rsidRDefault="00366EDA" w:rsidP="00366EDA">
    <w:pPr>
      <w:pStyle w:val="Footer"/>
      <w:jc w:val="center"/>
    </w:pPr>
    <w:r>
      <w:t>Program</w:t>
    </w:r>
    <w:r w:rsidR="000B6BEF">
      <w:t xml:space="preserve"> </w:t>
    </w:r>
    <w:r>
      <w:t>n</w:t>
    </w:r>
    <w:r w:rsidR="000B6BEF">
      <w:t>ame, address, phone number</w:t>
    </w:r>
    <w:r w:rsidR="007E6D4C">
      <w:t>, including 24 hr. contact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EA00" w14:textId="77777777" w:rsidR="000B6BEF" w:rsidRDefault="000B6BEF" w:rsidP="000B6BEF">
      <w:pPr>
        <w:spacing w:after="0" w:line="240" w:lineRule="auto"/>
      </w:pPr>
      <w:r>
        <w:separator/>
      </w:r>
    </w:p>
  </w:footnote>
  <w:footnote w:type="continuationSeparator" w:id="0">
    <w:p w14:paraId="32E36CD9" w14:textId="77777777" w:rsidR="000B6BEF" w:rsidRDefault="000B6BEF" w:rsidP="000B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D4A1" w14:textId="015363EE" w:rsidR="004F54B1" w:rsidRDefault="003834BF">
    <w:pPr>
      <w:pStyle w:val="Header"/>
    </w:pPr>
    <w:r>
      <w:rPr>
        <w:noProof/>
      </w:rPr>
      <w:pict w14:anchorId="50FC7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31079" o:spid="_x0000_s4098" type="#_x0000_t136" style="position:absolute;left:0;text-align:left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B465" w14:textId="101EF4C5" w:rsidR="004F54B1" w:rsidRDefault="003834BF">
    <w:pPr>
      <w:pStyle w:val="Header"/>
    </w:pPr>
    <w:r>
      <w:rPr>
        <w:noProof/>
      </w:rPr>
      <w:pict w14:anchorId="029102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31080" o:spid="_x0000_s4099" type="#_x0000_t136" style="position:absolute;left:0;text-align:left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F726" w14:textId="1E19E781" w:rsidR="004F54B1" w:rsidRDefault="003834BF">
    <w:pPr>
      <w:pStyle w:val="Header"/>
    </w:pPr>
    <w:r>
      <w:rPr>
        <w:noProof/>
      </w:rPr>
      <w:pict w14:anchorId="6BD32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31078" o:spid="_x0000_s4097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47D34"/>
    <w:multiLevelType w:val="hybridMultilevel"/>
    <w:tmpl w:val="2BDA99B0"/>
    <w:lvl w:ilvl="0" w:tplc="9E7EE022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FD4C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E868C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E2B1C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27E16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C0B6C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CCCEA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499CC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2AB62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0C"/>
    <w:rsid w:val="000B6BEF"/>
    <w:rsid w:val="000C79B2"/>
    <w:rsid w:val="001A7165"/>
    <w:rsid w:val="001E6994"/>
    <w:rsid w:val="00303B97"/>
    <w:rsid w:val="00304BE7"/>
    <w:rsid w:val="00366EDA"/>
    <w:rsid w:val="003834BF"/>
    <w:rsid w:val="00391F0E"/>
    <w:rsid w:val="004F54B1"/>
    <w:rsid w:val="00552907"/>
    <w:rsid w:val="006E1B06"/>
    <w:rsid w:val="007E6D4C"/>
    <w:rsid w:val="0082253F"/>
    <w:rsid w:val="008249F6"/>
    <w:rsid w:val="00860857"/>
    <w:rsid w:val="008C4943"/>
    <w:rsid w:val="008E6BCA"/>
    <w:rsid w:val="009B6ED4"/>
    <w:rsid w:val="00B623AD"/>
    <w:rsid w:val="00B6327B"/>
    <w:rsid w:val="00B74869"/>
    <w:rsid w:val="00B82AFF"/>
    <w:rsid w:val="00C439DA"/>
    <w:rsid w:val="00CC5AAD"/>
    <w:rsid w:val="00DD5296"/>
    <w:rsid w:val="00E66E41"/>
    <w:rsid w:val="00F25D77"/>
    <w:rsid w:val="00F803B1"/>
    <w:rsid w:val="00F8340C"/>
    <w:rsid w:val="00F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8BBF704"/>
  <w15:docId w15:val="{1588D64D-CF40-4FE3-9C6F-AB963148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 w:line="248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E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E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B594-2BCA-4DBF-8130-EF2F2F5F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- 11-08-18 OHP Sample SDF Consent Form-Adult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- 11-08-18 OHP Sample SDF Consent Form-Adult</dc:title>
  <dc:subject/>
  <dc:creator>suddethe</dc:creator>
  <cp:keywords/>
  <cp:lastModifiedBy>Suddeth, Erin (DHHS-Contractor)</cp:lastModifiedBy>
  <cp:revision>23</cp:revision>
  <dcterms:created xsi:type="dcterms:W3CDTF">2018-12-05T19:26:00Z</dcterms:created>
  <dcterms:modified xsi:type="dcterms:W3CDTF">2019-02-04T19:05:00Z</dcterms:modified>
</cp:coreProperties>
</file>