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8BB" w:rsidRDefault="008628BB" w:rsidP="008628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DF5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z w:val="28"/>
          <w:szCs w:val="24"/>
        </w:rPr>
        <w:t>SENTINEL EVENTS DATA REPORT</w:t>
      </w:r>
      <w:r w:rsidRPr="00315C91">
        <w:rPr>
          <w:rFonts w:ascii="Arial" w:eastAsia="Times New Roman" w:hAnsi="Arial" w:cs="Arial"/>
          <w:b/>
          <w:bCs/>
          <w:sz w:val="28"/>
          <w:szCs w:val="24"/>
        </w:rPr>
        <w:t xml:space="preserve"> </w:t>
      </w:r>
    </w:p>
    <w:p w:rsidR="008628BB" w:rsidRDefault="008628BB" w:rsidP="008628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DF5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</w:rPr>
      </w:pPr>
      <w:r>
        <w:rPr>
          <w:rFonts w:ascii="Arial" w:eastAsia="Times New Roman" w:hAnsi="Arial" w:cs="Arial"/>
          <w:b/>
          <w:bCs/>
          <w:sz w:val="28"/>
          <w:szCs w:val="24"/>
        </w:rPr>
        <w:t>Substance Abuse Residential Services</w:t>
      </w:r>
    </w:p>
    <w:p w:rsidR="008628BB" w:rsidRPr="00315C91" w:rsidRDefault="008628BB" w:rsidP="008628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DF5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</w:rPr>
      </w:pPr>
      <w:r>
        <w:rPr>
          <w:rFonts w:ascii="Arial" w:eastAsia="Times New Roman" w:hAnsi="Arial" w:cs="Arial"/>
          <w:b/>
          <w:bCs/>
          <w:sz w:val="28"/>
          <w:szCs w:val="24"/>
        </w:rPr>
        <w:t>FY 17</w:t>
      </w:r>
    </w:p>
    <w:tbl>
      <w:tblPr>
        <w:tblpPr w:leftFromText="180" w:rightFromText="180" w:vertAnchor="page" w:horzAnchor="margin" w:tblpY="4156"/>
        <w:tblW w:w="966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950"/>
        <w:gridCol w:w="4710"/>
      </w:tblGrid>
      <w:tr w:rsidR="00D71E43" w:rsidRPr="00BF3054" w:rsidTr="00B93D25">
        <w:trPr>
          <w:trHeight w:val="222"/>
        </w:trPr>
        <w:tc>
          <w:tcPr>
            <w:tcW w:w="4950" w:type="dxa"/>
            <w:tcBorders>
              <w:top w:val="doub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b/>
                <w:bCs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BF3054">
              <w:rPr>
                <w:rFonts w:ascii="Arial" w:eastAsia="Times New Roman" w:hAnsi="Arial" w:cs="Arial"/>
                <w:b/>
                <w:bCs/>
              </w:rPr>
              <w:t>Time Period (check one)</w:t>
            </w:r>
          </w:p>
        </w:tc>
        <w:tc>
          <w:tcPr>
            <w:tcW w:w="4710" w:type="dxa"/>
            <w:tcBorders>
              <w:top w:val="doub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b/>
                <w:bCs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BF3054">
              <w:rPr>
                <w:rFonts w:ascii="Arial" w:eastAsia="Times New Roman" w:hAnsi="Arial" w:cs="Arial"/>
                <w:b/>
                <w:bCs/>
              </w:rPr>
              <w:t>Due Date</w:t>
            </w:r>
          </w:p>
        </w:tc>
      </w:tr>
      <w:tr w:rsidR="00D71E43" w:rsidRPr="00BF3054" w:rsidTr="00B93D25">
        <w:trPr>
          <w:trHeight w:val="279"/>
        </w:trPr>
        <w:tc>
          <w:tcPr>
            <w:tcW w:w="4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b/>
                <w:bCs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BF3054">
              <w:rPr>
                <w:rFonts w:ascii="Arial" w:eastAsia="Times New Roman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F3054">
              <w:rPr>
                <w:rFonts w:ascii="Arial" w:eastAsia="Times New Roman" w:hAnsi="Arial" w:cs="Arial"/>
              </w:rPr>
              <w:instrText xml:space="preserve"> FORMCHECKBOX </w:instrText>
            </w:r>
            <w:r w:rsidR="00376BAF">
              <w:rPr>
                <w:rFonts w:ascii="Arial" w:eastAsia="Times New Roman" w:hAnsi="Arial" w:cs="Arial"/>
              </w:rPr>
            </w:r>
            <w:r w:rsidR="00376BAF">
              <w:rPr>
                <w:rFonts w:ascii="Arial" w:eastAsia="Times New Roman" w:hAnsi="Arial" w:cs="Arial"/>
              </w:rPr>
              <w:fldChar w:fldCharType="separate"/>
            </w:r>
            <w:r w:rsidRPr="00BF3054">
              <w:rPr>
                <w:rFonts w:ascii="Arial" w:eastAsia="Times New Roman" w:hAnsi="Arial" w:cs="Arial"/>
              </w:rPr>
              <w:fldChar w:fldCharType="end"/>
            </w:r>
            <w:r w:rsidRPr="00BF3054">
              <w:rPr>
                <w:rFonts w:ascii="Arial" w:eastAsia="Times New Roman" w:hAnsi="Arial" w:cs="Arial"/>
              </w:rPr>
              <w:t xml:space="preserve">  October 1 through March 31</w:t>
            </w:r>
          </w:p>
        </w:tc>
        <w:tc>
          <w:tcPr>
            <w:tcW w:w="4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b/>
                <w:bCs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F3054">
              <w:rPr>
                <w:rFonts w:ascii="Arial" w:eastAsia="Times New Roman" w:hAnsi="Arial" w:cs="Arial"/>
              </w:rPr>
              <w:t>April 30</w:t>
            </w:r>
          </w:p>
        </w:tc>
      </w:tr>
      <w:tr w:rsidR="00D71E43" w:rsidRPr="00BF3054" w:rsidTr="00B93D25">
        <w:trPr>
          <w:trHeight w:val="286"/>
        </w:trPr>
        <w:tc>
          <w:tcPr>
            <w:tcW w:w="4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b/>
                <w:bCs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BF3054">
              <w:rPr>
                <w:rFonts w:ascii="Arial" w:eastAsia="Times New Roman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BF3054">
              <w:rPr>
                <w:rFonts w:ascii="Arial" w:eastAsia="Times New Roman" w:hAnsi="Arial" w:cs="Arial"/>
              </w:rPr>
              <w:instrText xml:space="preserve"> FORMCHECKBOX </w:instrText>
            </w:r>
            <w:r w:rsidR="00376BAF">
              <w:rPr>
                <w:rFonts w:ascii="Arial" w:eastAsia="Times New Roman" w:hAnsi="Arial" w:cs="Arial"/>
              </w:rPr>
            </w:r>
            <w:r w:rsidR="00376BAF">
              <w:rPr>
                <w:rFonts w:ascii="Arial" w:eastAsia="Times New Roman" w:hAnsi="Arial" w:cs="Arial"/>
              </w:rPr>
              <w:fldChar w:fldCharType="separate"/>
            </w:r>
            <w:r w:rsidRPr="00BF3054">
              <w:rPr>
                <w:rFonts w:ascii="Arial" w:eastAsia="Times New Roman" w:hAnsi="Arial" w:cs="Arial"/>
              </w:rPr>
              <w:fldChar w:fldCharType="end"/>
            </w:r>
            <w:bookmarkEnd w:id="1"/>
            <w:r w:rsidRPr="00BF3054">
              <w:rPr>
                <w:rFonts w:ascii="Arial" w:eastAsia="Times New Roman" w:hAnsi="Arial" w:cs="Arial"/>
              </w:rPr>
              <w:t xml:space="preserve">  April 1 through September 30</w:t>
            </w:r>
          </w:p>
        </w:tc>
        <w:tc>
          <w:tcPr>
            <w:tcW w:w="4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b/>
                <w:bCs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F3054">
              <w:rPr>
                <w:rFonts w:ascii="Arial" w:eastAsia="Times New Roman" w:hAnsi="Arial" w:cs="Arial"/>
              </w:rPr>
              <w:t>October 31</w:t>
            </w:r>
          </w:p>
        </w:tc>
      </w:tr>
    </w:tbl>
    <w:p w:rsidR="00D71E43" w:rsidRPr="00BF3054" w:rsidRDefault="00D71E43" w:rsidP="00D71E4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vanish/>
        </w:rPr>
      </w:pPr>
    </w:p>
    <w:tbl>
      <w:tblPr>
        <w:tblpPr w:leftFromText="180" w:rightFromText="180" w:vertAnchor="page" w:horzAnchor="margin" w:tblpY="5536"/>
        <w:tblW w:w="96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5"/>
        <w:gridCol w:w="5900"/>
        <w:gridCol w:w="1453"/>
        <w:gridCol w:w="1742"/>
      </w:tblGrid>
      <w:tr w:rsidR="00D71E43" w:rsidRPr="00BF3054" w:rsidTr="00B93D25">
        <w:trPr>
          <w:trHeight w:val="1029"/>
        </w:trPr>
        <w:tc>
          <w:tcPr>
            <w:tcW w:w="545" w:type="dxa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C0C0C0"/>
          </w:tcPr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900" w:type="dxa"/>
            <w:tcBorders>
              <w:top w:val="double" w:sz="7" w:space="0" w:color="000000"/>
              <w:left w:val="single" w:sz="8" w:space="0" w:color="000000"/>
              <w:bottom w:val="doub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Category</w:t>
            </w:r>
          </w:p>
        </w:tc>
        <w:tc>
          <w:tcPr>
            <w:tcW w:w="1453" w:type="dxa"/>
            <w:tcBorders>
              <w:top w:val="doub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2. </w:t>
            </w: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# of Sentinel Events in the Period</w:t>
            </w:r>
          </w:p>
        </w:tc>
        <w:tc>
          <w:tcPr>
            <w:tcW w:w="1742" w:type="dxa"/>
            <w:tcBorders>
              <w:top w:val="doub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</w:t>
            </w:r>
          </w:p>
          <w:p w:rsidR="00D71E43" w:rsidRPr="00BF3054" w:rsidRDefault="003D6712" w:rsidP="00B93D25">
            <w:pPr>
              <w:autoSpaceDE w:val="0"/>
              <w:autoSpaceDN w:val="0"/>
              <w:adjustRightInd w:val="0"/>
              <w:spacing w:after="58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# of Events for Which there w</w:t>
            </w:r>
            <w:r w:rsidR="00D71E43" w:rsidRPr="00BF30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as Intervention</w:t>
            </w:r>
          </w:p>
        </w:tc>
      </w:tr>
      <w:tr w:rsidR="00D71E43" w:rsidRPr="00BF3054" w:rsidTr="00B93D25">
        <w:trPr>
          <w:trHeight w:val="309"/>
        </w:trPr>
        <w:tc>
          <w:tcPr>
            <w:tcW w:w="545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</w:rPr>
            </w:pPr>
            <w:r w:rsidRPr="00BF3054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590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Death of Recipient</w:t>
            </w:r>
          </w:p>
        </w:tc>
        <w:tc>
          <w:tcPr>
            <w:tcW w:w="14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  <w:tc>
          <w:tcPr>
            <w:tcW w:w="1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</w:tr>
      <w:tr w:rsidR="00D71E43" w:rsidRPr="00BF3054" w:rsidTr="00B93D25">
        <w:trPr>
          <w:trHeight w:val="493"/>
        </w:trPr>
        <w:tc>
          <w:tcPr>
            <w:tcW w:w="54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</w:rPr>
            </w:pPr>
            <w:r w:rsidRPr="00BF3054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5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Accidents requiring emergency room visits and/or admissions to hospitals</w:t>
            </w:r>
          </w:p>
        </w:tc>
        <w:tc>
          <w:tcPr>
            <w:tcW w:w="14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  <w:tc>
          <w:tcPr>
            <w:tcW w:w="1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</w:tr>
      <w:tr w:rsidR="00D71E43" w:rsidRPr="00BF3054" w:rsidTr="00B93D25">
        <w:trPr>
          <w:trHeight w:val="280"/>
        </w:trPr>
        <w:tc>
          <w:tcPr>
            <w:tcW w:w="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</w:rPr>
            </w:pPr>
            <w:r w:rsidRPr="00BF3054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5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Physical illness requiring admissions to hospitals</w:t>
            </w:r>
          </w:p>
        </w:tc>
        <w:tc>
          <w:tcPr>
            <w:tcW w:w="14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  <w:tc>
          <w:tcPr>
            <w:tcW w:w="1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</w:tr>
      <w:tr w:rsidR="00D71E43" w:rsidRPr="00BF3054" w:rsidTr="00B93D25">
        <w:trPr>
          <w:trHeight w:val="318"/>
        </w:trPr>
        <w:tc>
          <w:tcPr>
            <w:tcW w:w="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</w:rPr>
            </w:pPr>
            <w:r w:rsidRPr="00BF3054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5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Arrest or conviction of recipients</w:t>
            </w:r>
          </w:p>
        </w:tc>
        <w:tc>
          <w:tcPr>
            <w:tcW w:w="14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  <w:tc>
          <w:tcPr>
            <w:tcW w:w="1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</w:tr>
      <w:tr w:rsidR="00D71E43" w:rsidRPr="00BF3054" w:rsidTr="00B93D25">
        <w:trPr>
          <w:trHeight w:val="318"/>
        </w:trPr>
        <w:tc>
          <w:tcPr>
            <w:tcW w:w="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</w:rPr>
            </w:pPr>
            <w:r w:rsidRPr="00BF3054"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5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Serious challenging behaviors</w:t>
            </w:r>
          </w:p>
        </w:tc>
        <w:tc>
          <w:tcPr>
            <w:tcW w:w="14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  <w:tc>
          <w:tcPr>
            <w:tcW w:w="1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</w:tr>
      <w:tr w:rsidR="00D71E43" w:rsidRPr="00BF3054" w:rsidTr="00B93D25">
        <w:trPr>
          <w:trHeight w:val="178"/>
        </w:trPr>
        <w:tc>
          <w:tcPr>
            <w:tcW w:w="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</w:rPr>
            </w:pPr>
            <w:r w:rsidRPr="00BF3054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5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71E43" w:rsidRPr="00BF3054" w:rsidRDefault="00D71E43" w:rsidP="00B93D25">
            <w:pPr>
              <w:autoSpaceDE w:val="0"/>
              <w:autoSpaceDN w:val="0"/>
              <w:adjustRightInd w:val="0"/>
              <w:spacing w:after="58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3054">
              <w:rPr>
                <w:rFonts w:ascii="Arial" w:eastAsia="Times New Roman" w:hAnsi="Arial" w:cs="Arial"/>
                <w:sz w:val="20"/>
                <w:szCs w:val="20"/>
              </w:rPr>
              <w:t>Medication errors</w:t>
            </w:r>
          </w:p>
        </w:tc>
        <w:tc>
          <w:tcPr>
            <w:tcW w:w="14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  <w:tc>
          <w:tcPr>
            <w:tcW w:w="1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71E43" w:rsidRPr="00BF3054" w:rsidRDefault="00D71E43" w:rsidP="00B9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" w:eastAsia="Times New Roman" w:hAnsi="Courier"/>
                <w:sz w:val="20"/>
                <w:szCs w:val="24"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</w:tr>
    </w:tbl>
    <w:p w:rsidR="00D71E43" w:rsidRPr="00BF3054" w:rsidRDefault="00D71E43" w:rsidP="00D71E43">
      <w:pPr>
        <w:tabs>
          <w:tab w:val="left" w:pos="3015"/>
          <w:tab w:val="center" w:pos="54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D71E43" w:rsidRDefault="00D71E43" w:rsidP="00D71E4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73"/>
        <w:gridCol w:w="5803"/>
      </w:tblGrid>
      <w:tr w:rsidR="00D71E43" w:rsidRPr="00933E47" w:rsidTr="00B93D25">
        <w:tc>
          <w:tcPr>
            <w:tcW w:w="3798" w:type="dxa"/>
            <w:shd w:val="clear" w:color="auto" w:fill="auto"/>
          </w:tcPr>
          <w:p w:rsidR="00D71E43" w:rsidRPr="00933E47" w:rsidRDefault="00D71E43" w:rsidP="00D71E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3E1854">
              <w:rPr>
                <w:rFonts w:ascii="Arial" w:eastAsia="Times New Roman" w:hAnsi="Arial" w:cs="Arial"/>
                <w:b/>
                <w:bCs/>
              </w:rPr>
              <w:t>Prepaid Inpatient Heath Plan</w:t>
            </w:r>
            <w:r>
              <w:rPr>
                <w:rFonts w:ascii="Arial" w:eastAsia="Times New Roman" w:hAnsi="Arial" w:cs="Arial"/>
                <w:bCs/>
              </w:rPr>
              <w:t xml:space="preserve">:  </w:t>
            </w:r>
          </w:p>
        </w:tc>
        <w:tc>
          <w:tcPr>
            <w:tcW w:w="5850" w:type="dxa"/>
            <w:tcBorders>
              <w:bottom w:val="single" w:sz="4" w:space="0" w:color="auto"/>
            </w:tcBorders>
            <w:shd w:val="clear" w:color="auto" w:fill="auto"/>
          </w:tcPr>
          <w:p w:rsidR="00D71E43" w:rsidRPr="00933E47" w:rsidRDefault="00E02238" w:rsidP="00B9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</w:tr>
    </w:tbl>
    <w:p w:rsidR="00D71E43" w:rsidRDefault="00D71E43" w:rsidP="00D71E4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:rsidR="00F35F79" w:rsidRDefault="00F35F79" w:rsidP="00D71E4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4"/>
        <w:gridCol w:w="4922"/>
      </w:tblGrid>
      <w:tr w:rsidR="00D71E43" w:rsidRPr="00933E47" w:rsidTr="00B93D25">
        <w:tc>
          <w:tcPr>
            <w:tcW w:w="4698" w:type="dxa"/>
            <w:shd w:val="clear" w:color="auto" w:fill="auto"/>
          </w:tcPr>
          <w:p w:rsidR="003D6712" w:rsidRDefault="003D6712" w:rsidP="00B9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</w:rPr>
            </w:pPr>
          </w:p>
          <w:p w:rsidR="00D71E43" w:rsidRPr="00933E47" w:rsidRDefault="00D71E43" w:rsidP="00B9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933E47">
              <w:rPr>
                <w:rFonts w:ascii="Arial" w:eastAsia="Times New Roman" w:hAnsi="Arial" w:cs="Arial"/>
                <w:bCs/>
              </w:rPr>
              <w:t>Number of persons served during the time period who meet criteria in Note #1 below: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</w:tcPr>
          <w:p w:rsidR="00E02238" w:rsidRDefault="00E02238" w:rsidP="00B9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71E43" w:rsidRPr="00E02238" w:rsidRDefault="00E02238" w:rsidP="00E02238">
            <w:pPr>
              <w:tabs>
                <w:tab w:val="left" w:pos="1838"/>
              </w:tabs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ab/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instrText xml:space="preserve"> FORMTEXT </w:instrTex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separate"/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noProof/>
                <w:sz w:val="20"/>
                <w:szCs w:val="24"/>
              </w:rPr>
              <w:t> </w:t>
            </w:r>
            <w:r w:rsidRPr="00BF3054">
              <w:rPr>
                <w:rFonts w:ascii="Courier" w:eastAsia="Times New Roman" w:hAnsi="Courier"/>
                <w:sz w:val="20"/>
                <w:szCs w:val="24"/>
              </w:rPr>
              <w:fldChar w:fldCharType="end"/>
            </w:r>
          </w:p>
        </w:tc>
      </w:tr>
    </w:tbl>
    <w:p w:rsidR="00D71E43" w:rsidRDefault="00D71E43" w:rsidP="00D71E4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:rsidR="00D71E43" w:rsidRDefault="00D71E43" w:rsidP="00D71E4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F3054">
        <w:rPr>
          <w:rFonts w:ascii="Arial" w:eastAsia="Times New Roman" w:hAnsi="Arial" w:cs="Arial"/>
          <w:b/>
          <w:bCs/>
        </w:rPr>
        <w:t>Definitions:</w:t>
      </w:r>
    </w:p>
    <w:p w:rsidR="00D71E43" w:rsidRPr="00BF3054" w:rsidRDefault="00D71E43" w:rsidP="00D71E43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eastAsia="Times New Roman" w:hAnsi="Arial" w:cs="Arial"/>
          <w:sz w:val="20"/>
          <w:szCs w:val="20"/>
        </w:rPr>
      </w:pPr>
      <w:r w:rsidRPr="00BF3054">
        <w:rPr>
          <w:rFonts w:ascii="Arial" w:eastAsia="Times New Roman" w:hAnsi="Arial" w:cs="Arial"/>
          <w:sz w:val="20"/>
          <w:szCs w:val="20"/>
        </w:rPr>
        <w:t xml:space="preserve">1. </w:t>
      </w:r>
      <w:r w:rsidRPr="00BF3054">
        <w:rPr>
          <w:rFonts w:ascii="Arial" w:eastAsia="Times New Roman" w:hAnsi="Arial" w:cs="Arial"/>
          <w:sz w:val="20"/>
          <w:szCs w:val="20"/>
          <w:u w:val="single"/>
        </w:rPr>
        <w:t>Sentinel Event</w:t>
      </w:r>
      <w:r w:rsidRPr="00BF3054">
        <w:rPr>
          <w:rFonts w:ascii="Arial" w:eastAsia="Times New Roman" w:hAnsi="Arial" w:cs="Arial"/>
          <w:sz w:val="20"/>
          <w:szCs w:val="20"/>
        </w:rPr>
        <w:t xml:space="preserve"> is an “unexpected occurrence involving death or serious physical or </w:t>
      </w:r>
      <w:r w:rsidR="007E338B" w:rsidRPr="00BF3054">
        <w:rPr>
          <w:rFonts w:ascii="Arial" w:eastAsia="Times New Roman" w:hAnsi="Arial" w:cs="Arial"/>
          <w:sz w:val="20"/>
          <w:szCs w:val="20"/>
        </w:rPr>
        <w:t>psychological injury</w:t>
      </w:r>
      <w:r w:rsidRPr="00BF3054">
        <w:rPr>
          <w:rFonts w:ascii="Arial" w:eastAsia="Times New Roman" w:hAnsi="Arial" w:cs="Arial"/>
          <w:sz w:val="20"/>
          <w:szCs w:val="20"/>
        </w:rPr>
        <w:t>, or the risk thereof.  Serious injury specifically includes loss of limb or function.  The phrase, ‘or the risk thereof,’ includes any process variation for which recurrence would carry a significant chance of a serious adverse outcome.” (JCAHO 1998)</w:t>
      </w:r>
    </w:p>
    <w:p w:rsidR="00D71E43" w:rsidRPr="00BF3054" w:rsidRDefault="00D71E43" w:rsidP="00D71E43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eastAsia="Times New Roman" w:hAnsi="Arial" w:cs="Arial"/>
          <w:sz w:val="20"/>
          <w:szCs w:val="20"/>
        </w:rPr>
      </w:pPr>
      <w:r w:rsidRPr="00BF3054">
        <w:rPr>
          <w:rFonts w:ascii="Arial" w:eastAsia="Times New Roman" w:hAnsi="Arial" w:cs="Arial"/>
          <w:sz w:val="20"/>
          <w:szCs w:val="20"/>
        </w:rPr>
        <w:t xml:space="preserve">2. </w:t>
      </w:r>
      <w:r w:rsidRPr="00BF3054">
        <w:rPr>
          <w:rFonts w:ascii="Arial" w:eastAsia="Times New Roman" w:hAnsi="Arial" w:cs="Arial"/>
          <w:sz w:val="20"/>
          <w:szCs w:val="20"/>
          <w:u w:val="single"/>
        </w:rPr>
        <w:t>Serious challenging behaviors</w:t>
      </w:r>
      <w:r w:rsidRPr="00BF3054">
        <w:rPr>
          <w:rFonts w:ascii="Arial" w:eastAsia="Times New Roman" w:hAnsi="Arial" w:cs="Arial"/>
          <w:sz w:val="20"/>
          <w:szCs w:val="20"/>
        </w:rPr>
        <w:t xml:space="preserve"> include property damage, attempts at self-inflicted harm or harm </w:t>
      </w:r>
      <w:r w:rsidR="007E338B" w:rsidRPr="00BF3054">
        <w:rPr>
          <w:rFonts w:ascii="Arial" w:eastAsia="Times New Roman" w:hAnsi="Arial" w:cs="Arial"/>
          <w:sz w:val="20"/>
          <w:szCs w:val="20"/>
        </w:rPr>
        <w:t>to others</w:t>
      </w:r>
      <w:r w:rsidRPr="00BF3054">
        <w:rPr>
          <w:rFonts w:ascii="Arial" w:eastAsia="Times New Roman" w:hAnsi="Arial" w:cs="Arial"/>
          <w:sz w:val="20"/>
          <w:szCs w:val="20"/>
        </w:rPr>
        <w:t>, or unauthorized leaves of absence that increase the risk of serious physical or psychological harm to the consumer.</w:t>
      </w:r>
    </w:p>
    <w:p w:rsidR="00F35F79" w:rsidRDefault="00D71E43" w:rsidP="00D71E43">
      <w:p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eastAsia="Times New Roman" w:hAnsi="Arial" w:cs="Arial"/>
          <w:sz w:val="21"/>
          <w:szCs w:val="21"/>
        </w:rPr>
      </w:pPr>
      <w:r w:rsidRPr="00BF3054">
        <w:rPr>
          <w:rFonts w:ascii="Arial" w:eastAsia="Times New Roman" w:hAnsi="Arial" w:cs="Arial"/>
          <w:sz w:val="20"/>
          <w:szCs w:val="20"/>
        </w:rPr>
        <w:t xml:space="preserve">3. </w:t>
      </w:r>
      <w:r w:rsidRPr="00BF3054">
        <w:rPr>
          <w:rFonts w:ascii="Arial" w:eastAsia="Times New Roman" w:hAnsi="Arial" w:cs="Arial"/>
          <w:sz w:val="20"/>
          <w:szCs w:val="20"/>
          <w:u w:val="single"/>
        </w:rPr>
        <w:t>Medication errors</w:t>
      </w:r>
      <w:r w:rsidRPr="00BF3054">
        <w:rPr>
          <w:rFonts w:ascii="Arial" w:eastAsia="Times New Roman" w:hAnsi="Arial" w:cs="Arial"/>
          <w:sz w:val="20"/>
          <w:szCs w:val="20"/>
        </w:rPr>
        <w:t xml:space="preserve"> mean a) wrong medication; b) wrong dosage; c) double dosage; or d) missed dosage.  It does not</w:t>
      </w:r>
      <w:r w:rsidRPr="00BF3054">
        <w:rPr>
          <w:rFonts w:ascii="Arial" w:eastAsia="Times New Roman" w:hAnsi="Arial" w:cs="Arial"/>
          <w:sz w:val="21"/>
          <w:szCs w:val="21"/>
        </w:rPr>
        <w:t xml:space="preserve"> include instances in which consumers have refused medication.</w:t>
      </w:r>
    </w:p>
    <w:p w:rsidR="00F35F79" w:rsidRDefault="00F35F79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br w:type="page"/>
      </w:r>
    </w:p>
    <w:p w:rsidR="00D71E43" w:rsidRPr="003D6712" w:rsidRDefault="00D71E43" w:rsidP="003D67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  <w:r w:rsidRPr="003D6712">
        <w:rPr>
          <w:rFonts w:ascii="Arial" w:eastAsia="Times New Roman" w:hAnsi="Arial" w:cs="Arial"/>
          <w:b/>
          <w:bCs/>
        </w:rPr>
        <w:lastRenderedPageBreak/>
        <w:t>Notes:</w:t>
      </w:r>
    </w:p>
    <w:p w:rsidR="00D71E43" w:rsidRPr="00BF3054" w:rsidRDefault="00D71E43" w:rsidP="00D71E4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</w:rPr>
      </w:pPr>
      <w:r w:rsidRPr="00BF3054">
        <w:rPr>
          <w:rFonts w:ascii="Arial" w:eastAsia="Times New Roman" w:hAnsi="Arial" w:cs="Arial"/>
          <w:sz w:val="20"/>
          <w:szCs w:val="20"/>
        </w:rPr>
        <w:t xml:space="preserve">1. Reporting is </w:t>
      </w:r>
      <w:r w:rsidRPr="00BF3054">
        <w:rPr>
          <w:rFonts w:ascii="Arial" w:eastAsia="Times New Roman" w:hAnsi="Arial" w:cs="Arial"/>
          <w:b/>
          <w:bCs/>
          <w:sz w:val="20"/>
          <w:szCs w:val="20"/>
        </w:rPr>
        <w:t>required</w:t>
      </w:r>
      <w:r w:rsidRPr="00BF3054">
        <w:rPr>
          <w:rFonts w:ascii="Arial" w:eastAsia="Times New Roman" w:hAnsi="Arial" w:cs="Arial"/>
          <w:sz w:val="20"/>
          <w:szCs w:val="20"/>
        </w:rPr>
        <w:t xml:space="preserve"> for: 1) persons living in 24-hour specialized residential substance abuse</w:t>
      </w:r>
    </w:p>
    <w:p w:rsidR="00D71E43" w:rsidRPr="00BF3054" w:rsidRDefault="00D71E43" w:rsidP="00D71E4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</w:rPr>
      </w:pPr>
      <w:r w:rsidRPr="00BF3054">
        <w:rPr>
          <w:rFonts w:ascii="Arial" w:eastAsia="Times New Roman" w:hAnsi="Arial" w:cs="Arial"/>
          <w:sz w:val="20"/>
          <w:szCs w:val="20"/>
        </w:rPr>
        <w:t xml:space="preserve">    treatment settings.</w:t>
      </w:r>
    </w:p>
    <w:p w:rsidR="00D71E43" w:rsidRPr="00BF3054" w:rsidRDefault="00D71E43" w:rsidP="00D71E43">
      <w:p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eastAsia="Times New Roman" w:hAnsi="Arial" w:cs="Arial"/>
          <w:sz w:val="20"/>
          <w:szCs w:val="20"/>
        </w:rPr>
      </w:pPr>
      <w:r w:rsidRPr="00BF3054">
        <w:rPr>
          <w:rFonts w:ascii="Arial" w:eastAsia="Times New Roman" w:hAnsi="Arial" w:cs="Arial"/>
          <w:sz w:val="20"/>
          <w:szCs w:val="20"/>
        </w:rPr>
        <w:t>2. Accidents treated at medi-centers and urgent care clinics/centers should be included in the accident reporting along with those treated in emergency rooms.  In many communities in the state where hospitals do not exist, medi-centers and urgent care clinics/centers are used in place of emergency rooms.</w:t>
      </w:r>
    </w:p>
    <w:p w:rsidR="00D71E43" w:rsidRPr="00BF3054" w:rsidRDefault="00D71E43" w:rsidP="00D71E43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eastAsia="Times New Roman" w:hAnsi="Arial" w:cs="Arial"/>
          <w:sz w:val="20"/>
          <w:szCs w:val="20"/>
        </w:rPr>
      </w:pPr>
      <w:r w:rsidRPr="00BF3054">
        <w:rPr>
          <w:rFonts w:ascii="Arial" w:eastAsia="Times New Roman" w:hAnsi="Arial" w:cs="Arial"/>
          <w:sz w:val="20"/>
          <w:szCs w:val="20"/>
        </w:rPr>
        <w:t>3. Planned surgeries, whether outpatient or inpatient, are not considered unexpected occurrences and therefore are not included in the reporting of illnesses requiring admissions to hospitals.</w:t>
      </w:r>
    </w:p>
    <w:p w:rsidR="00DA05CA" w:rsidRDefault="00D71E43" w:rsidP="00D71E43">
      <w:pPr>
        <w:autoSpaceDE w:val="0"/>
        <w:autoSpaceDN w:val="0"/>
        <w:adjustRightInd w:val="0"/>
        <w:spacing w:after="0" w:line="240" w:lineRule="auto"/>
      </w:pPr>
      <w:r w:rsidRPr="00BF3054">
        <w:rPr>
          <w:rFonts w:ascii="Arial" w:eastAsia="Times New Roman" w:hAnsi="Arial" w:cs="Arial"/>
          <w:sz w:val="20"/>
          <w:szCs w:val="20"/>
        </w:rPr>
        <w:t>4. Report arrests and convictions as separate incidents.</w:t>
      </w:r>
    </w:p>
    <w:sectPr w:rsidR="00DA05CA" w:rsidSect="00D71E43">
      <w:headerReference w:type="default" r:id="rId7"/>
      <w:footerReference w:type="default" r:id="rId8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BAF" w:rsidRDefault="00376BAF" w:rsidP="00337F77">
      <w:pPr>
        <w:spacing w:after="0" w:line="240" w:lineRule="auto"/>
      </w:pPr>
      <w:r>
        <w:separator/>
      </w:r>
    </w:p>
  </w:endnote>
  <w:endnote w:type="continuationSeparator" w:id="0">
    <w:p w:rsidR="00376BAF" w:rsidRDefault="00376BAF" w:rsidP="00337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8B" w:rsidRDefault="007E338B" w:rsidP="007E338B">
    <w:pPr>
      <w:pStyle w:val="Footer"/>
      <w:jc w:val="right"/>
    </w:pPr>
    <w:r w:rsidRPr="003E1854">
      <w:t xml:space="preserve">Revised </w:t>
    </w:r>
    <w:r w:rsidR="008628BB">
      <w:t>1/30/17</w:t>
    </w:r>
  </w:p>
  <w:sdt>
    <w:sdtPr>
      <w:id w:val="-1747106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338B" w:rsidRDefault="007E33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D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7F77" w:rsidRDefault="008628BB" w:rsidP="008628BB">
    <w:pPr>
      <w:pStyle w:val="Footer"/>
      <w:tabs>
        <w:tab w:val="clear" w:pos="4680"/>
        <w:tab w:val="clear" w:pos="9360"/>
        <w:tab w:val="left" w:pos="785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BAF" w:rsidRDefault="00376BAF" w:rsidP="00337F77">
      <w:pPr>
        <w:spacing w:after="0" w:line="240" w:lineRule="auto"/>
      </w:pPr>
      <w:r>
        <w:separator/>
      </w:r>
    </w:p>
  </w:footnote>
  <w:footnote w:type="continuationSeparator" w:id="0">
    <w:p w:rsidR="00376BAF" w:rsidRDefault="00376BAF" w:rsidP="00337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712" w:rsidRDefault="003D6712" w:rsidP="003D6712">
    <w:pPr>
      <w:pStyle w:val="Header"/>
      <w:jc w:val="center"/>
      <w:rPr>
        <w:rFonts w:ascii="Arial" w:hAnsi="Arial" w:cs="Arial"/>
      </w:rPr>
    </w:pPr>
    <w:r w:rsidRPr="008628BB">
      <w:rPr>
        <w:rFonts w:ascii="Arial" w:hAnsi="Arial" w:cs="Arial"/>
      </w:rPr>
      <w:t>Michigan Department of Health and Human Services</w:t>
    </w:r>
  </w:p>
  <w:p w:rsidR="008628BB" w:rsidRPr="008628BB" w:rsidRDefault="008628BB" w:rsidP="003D6712">
    <w:pPr>
      <w:pStyle w:val="Header"/>
      <w:jc w:val="center"/>
      <w:rPr>
        <w:rFonts w:ascii="Arial" w:hAnsi="Arial" w:cs="Arial"/>
        <w:sz w:val="24"/>
      </w:rPr>
    </w:pPr>
    <w:r>
      <w:rPr>
        <w:rFonts w:ascii="Arial" w:hAnsi="Arial" w:cs="Arial"/>
      </w:rPr>
      <w:t>Behavioral Health and Developmental Disabilities</w:t>
    </w:r>
  </w:p>
  <w:p w:rsidR="003D6712" w:rsidRDefault="003D6712" w:rsidP="003D6712">
    <w:pPr>
      <w:pStyle w:val="Header"/>
      <w:jc w:val="center"/>
    </w:pPr>
  </w:p>
  <w:p w:rsidR="00337F77" w:rsidRDefault="00337F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43"/>
    <w:rsid w:val="00337F77"/>
    <w:rsid w:val="00376BAF"/>
    <w:rsid w:val="003D6712"/>
    <w:rsid w:val="003E1854"/>
    <w:rsid w:val="007E338B"/>
    <w:rsid w:val="008628BB"/>
    <w:rsid w:val="009B644F"/>
    <w:rsid w:val="009C5D97"/>
    <w:rsid w:val="00C04D95"/>
    <w:rsid w:val="00D71E43"/>
    <w:rsid w:val="00DA05CA"/>
    <w:rsid w:val="00E02238"/>
    <w:rsid w:val="00F35F79"/>
    <w:rsid w:val="00F9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9E160D-944D-42DD-9EC7-7216A576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E4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F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37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F7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F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0C9B0-4124-4835-BF87-5D382EAD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Sentinel Events Data Report FY17</dc:title>
  <dc:subject>Sentinel Events Data</dc:subject>
  <dc:creator>Michigan Department of Health and Human Services</dc:creator>
  <cp:keywords>MDHHS;Sentinel Events;Data;Report;FY17</cp:keywords>
  <cp:lastModifiedBy>Simmons, Scott (DTMB)</cp:lastModifiedBy>
  <cp:revision>2</cp:revision>
  <dcterms:created xsi:type="dcterms:W3CDTF">2017-03-03T14:41:00Z</dcterms:created>
  <dcterms:modified xsi:type="dcterms:W3CDTF">2017-03-03T14:41:00Z</dcterms:modified>
</cp:coreProperties>
</file>