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F95A1" w14:textId="70A323D8" w:rsidR="00660E2D" w:rsidRPr="008E54F3" w:rsidRDefault="00777337" w:rsidP="00700885">
      <w:pPr>
        <w:numPr>
          <w:ilvl w:val="0"/>
          <w:numId w:val="2"/>
        </w:numPr>
        <w:tabs>
          <w:tab w:val="clear" w:pos="2160"/>
          <w:tab w:val="num" w:pos="360"/>
        </w:tabs>
        <w:spacing w:after="120"/>
        <w:ind w:left="360" w:hanging="720"/>
        <w:rPr>
          <w:rFonts w:ascii="Arial" w:hAnsi="Arial" w:cs="Arial"/>
          <w:sz w:val="22"/>
          <w:szCs w:val="22"/>
        </w:rPr>
      </w:pPr>
      <w:r>
        <w:rPr>
          <w:rFonts w:ascii="Arial" w:hAnsi="Arial" w:cs="Arial"/>
          <w:b/>
          <w:sz w:val="28"/>
          <w:szCs w:val="28"/>
        </w:rPr>
        <w:t>General Report Overview</w:t>
      </w:r>
    </w:p>
    <w:p w14:paraId="31FBED3F" w14:textId="33722571" w:rsidR="00777337" w:rsidRDefault="00777337">
      <w:pPr>
        <w:ind w:left="360"/>
        <w:rPr>
          <w:rFonts w:ascii="Arial" w:hAnsi="Arial" w:cs="Arial"/>
          <w:sz w:val="22"/>
          <w:szCs w:val="22"/>
        </w:rPr>
      </w:pPr>
      <w:r>
        <w:rPr>
          <w:rFonts w:ascii="Arial" w:hAnsi="Arial" w:cs="Arial"/>
          <w:sz w:val="22"/>
          <w:szCs w:val="22"/>
        </w:rPr>
        <w:t xml:space="preserve">Pursuant to Subsection 7.1 – Local Obligation of Part II, Section 7.0 – Contract Financing of the current </w:t>
      </w:r>
      <w:r w:rsidR="00C41178">
        <w:rPr>
          <w:rFonts w:ascii="Arial" w:hAnsi="Arial" w:cs="Arial"/>
          <w:sz w:val="22"/>
          <w:szCs w:val="22"/>
        </w:rPr>
        <w:t>MDHHS</w:t>
      </w:r>
      <w:r>
        <w:rPr>
          <w:rFonts w:ascii="Arial" w:hAnsi="Arial" w:cs="Arial"/>
          <w:sz w:val="22"/>
          <w:szCs w:val="22"/>
        </w:rPr>
        <w:t xml:space="preserve">/CMHSP Managed Mental Health Supports and Services Contract (contract), the Community Mental Health Services </w:t>
      </w:r>
      <w:r w:rsidR="00892ED5">
        <w:rPr>
          <w:rFonts w:ascii="Arial" w:hAnsi="Arial" w:cs="Arial"/>
          <w:sz w:val="22"/>
          <w:szCs w:val="22"/>
        </w:rPr>
        <w:t xml:space="preserve">Program </w:t>
      </w:r>
      <w:r>
        <w:rPr>
          <w:rFonts w:ascii="Arial" w:hAnsi="Arial" w:cs="Arial"/>
          <w:sz w:val="22"/>
          <w:szCs w:val="22"/>
        </w:rPr>
        <w:t xml:space="preserve">(CMHSP) has to provide the local financial obligation for services requiring local match, as stipulated by the Michigan Mental Health Code (MHC). Subsection 7.2 – Revenue Sources for Local Obligation of Part II, Section 7.0 – Contract Financing of the </w:t>
      </w:r>
      <w:r w:rsidR="00C41178">
        <w:rPr>
          <w:rFonts w:ascii="Arial" w:hAnsi="Arial" w:cs="Arial"/>
          <w:sz w:val="22"/>
          <w:szCs w:val="22"/>
        </w:rPr>
        <w:t>MDHHS</w:t>
      </w:r>
      <w:r>
        <w:rPr>
          <w:rFonts w:ascii="Arial" w:hAnsi="Arial" w:cs="Arial"/>
          <w:sz w:val="22"/>
          <w:szCs w:val="22"/>
        </w:rPr>
        <w:t>/CMHSP master contract describes several potential revenue sources for fulfilling the CMHSP’s local obligation.</w:t>
      </w:r>
    </w:p>
    <w:p w14:paraId="28C966BA" w14:textId="77777777" w:rsidR="00777337" w:rsidRDefault="00777337">
      <w:pPr>
        <w:ind w:left="360"/>
        <w:rPr>
          <w:rFonts w:ascii="Arial" w:hAnsi="Arial" w:cs="Arial"/>
          <w:sz w:val="22"/>
          <w:szCs w:val="22"/>
        </w:rPr>
      </w:pPr>
    </w:p>
    <w:p w14:paraId="5176A312" w14:textId="77777777" w:rsidR="00777337" w:rsidRDefault="00777337">
      <w:pPr>
        <w:ind w:left="360"/>
        <w:rPr>
          <w:rFonts w:ascii="Arial" w:hAnsi="Arial" w:cs="Arial"/>
          <w:sz w:val="22"/>
          <w:szCs w:val="22"/>
        </w:rPr>
      </w:pPr>
      <w:r>
        <w:rPr>
          <w:rFonts w:ascii="Arial" w:hAnsi="Arial" w:cs="Arial"/>
          <w:sz w:val="22"/>
          <w:szCs w:val="22"/>
        </w:rPr>
        <w:t xml:space="preserve">As set forth in Subsection 7.2.1 – </w:t>
      </w:r>
      <w:smartTag w:uri="urn:schemas-microsoft-com:office:smarttags" w:element="place">
        <w:smartTag w:uri="urn:schemas-microsoft-com:office:smarttags" w:element="PlaceType">
          <w:r>
            <w:rPr>
              <w:rFonts w:ascii="Arial" w:hAnsi="Arial" w:cs="Arial"/>
              <w:sz w:val="22"/>
              <w:szCs w:val="22"/>
            </w:rPr>
            <w:t>County</w:t>
          </w:r>
        </w:smartTag>
        <w:r>
          <w:rPr>
            <w:rFonts w:ascii="Arial" w:hAnsi="Arial" w:cs="Arial"/>
            <w:sz w:val="22"/>
            <w:szCs w:val="22"/>
          </w:rPr>
          <w:t xml:space="preserve"> </w:t>
        </w:r>
        <w:smartTag w:uri="urn:schemas-microsoft-com:office:smarttags" w:element="PlaceName">
          <w:r>
            <w:rPr>
              <w:rFonts w:ascii="Arial" w:hAnsi="Arial" w:cs="Arial"/>
              <w:sz w:val="22"/>
              <w:szCs w:val="22"/>
            </w:rPr>
            <w:t>Appropriations</w:t>
          </w:r>
        </w:smartTag>
      </w:smartTag>
      <w:r>
        <w:rPr>
          <w:rFonts w:ascii="Arial" w:hAnsi="Arial" w:cs="Arial"/>
          <w:sz w:val="22"/>
          <w:szCs w:val="22"/>
        </w:rPr>
        <w:t xml:space="preserve"> of the </w:t>
      </w:r>
      <w:r w:rsidR="00C41178">
        <w:rPr>
          <w:rFonts w:ascii="Arial" w:hAnsi="Arial" w:cs="Arial"/>
          <w:sz w:val="22"/>
          <w:szCs w:val="22"/>
        </w:rPr>
        <w:t>MDHHS</w:t>
      </w:r>
      <w:r>
        <w:rPr>
          <w:rFonts w:ascii="Arial" w:hAnsi="Arial" w:cs="Arial"/>
          <w:sz w:val="22"/>
          <w:szCs w:val="22"/>
        </w:rPr>
        <w:t>/CMHSP master contract, county appropriations are a primary revenue source for the CMHSP’s local obligation; such county appropriations must meet the requirements of the applicable Chapters of the Michigan MHC.</w:t>
      </w:r>
    </w:p>
    <w:p w14:paraId="4F5AB78A" w14:textId="77777777" w:rsidR="00777337" w:rsidRDefault="00777337">
      <w:pPr>
        <w:ind w:left="360"/>
        <w:rPr>
          <w:rFonts w:ascii="Arial" w:hAnsi="Arial" w:cs="Arial"/>
          <w:sz w:val="22"/>
          <w:szCs w:val="22"/>
        </w:rPr>
      </w:pPr>
    </w:p>
    <w:p w14:paraId="3E97D680" w14:textId="0497E28F" w:rsidR="008E54F3" w:rsidRDefault="00777337">
      <w:pPr>
        <w:spacing w:after="120"/>
        <w:ind w:left="360" w:right="180"/>
        <w:rPr>
          <w:rFonts w:ascii="Arial" w:hAnsi="Arial" w:cs="Arial"/>
          <w:sz w:val="22"/>
          <w:szCs w:val="22"/>
        </w:rPr>
      </w:pPr>
      <w:r>
        <w:rPr>
          <w:rFonts w:ascii="Arial" w:hAnsi="Arial" w:cs="Arial"/>
          <w:sz w:val="22"/>
          <w:szCs w:val="22"/>
        </w:rPr>
        <w:t xml:space="preserve">As described in Subsection 7.2.4 – Special Fund Account of the </w:t>
      </w:r>
      <w:r w:rsidR="00C41178">
        <w:rPr>
          <w:rFonts w:ascii="Arial" w:hAnsi="Arial" w:cs="Arial"/>
          <w:sz w:val="22"/>
          <w:szCs w:val="22"/>
        </w:rPr>
        <w:t>MDHHS</w:t>
      </w:r>
      <w:r>
        <w:rPr>
          <w:rFonts w:ascii="Arial" w:hAnsi="Arial" w:cs="Arial"/>
          <w:sz w:val="22"/>
          <w:szCs w:val="22"/>
        </w:rPr>
        <w:t>/CMHSP master contract, special revenue funds consistent with the requirements of Section 330.1226a (226a) – Board; special fund account of the Michigan MHC are also a revenue source for the CMHSP’s local obligation.  Section 226a of Chapter 2 of the Michigan MHC (effective March 28, 1996) reads as follows:</w:t>
      </w:r>
    </w:p>
    <w:p w14:paraId="4140364F" w14:textId="77777777" w:rsidR="00777337" w:rsidRDefault="00777337">
      <w:pPr>
        <w:ind w:left="900" w:right="684"/>
        <w:rPr>
          <w:rFonts w:ascii="Arial" w:hAnsi="Arial" w:cs="Arial"/>
          <w:sz w:val="22"/>
          <w:szCs w:val="22"/>
        </w:rPr>
      </w:pPr>
      <w:r>
        <w:rPr>
          <w:rFonts w:ascii="Arial" w:hAnsi="Arial" w:cs="Arial"/>
          <w:sz w:val="22"/>
          <w:szCs w:val="22"/>
        </w:rPr>
        <w:t>“Section 226a.  A community mental health services program board may create a special fund account to receive recipient funds and third-party reimbursements for services rendered.  In the case of a community mental health agency, approval of the board of commissioners of each participating county is necessary before creation of the special fund account.  Receipts into the fund shall be recorded by source of payment and by type of service rendered, and a report regarding this information shall be submitted on a quarterly basis to the department.  Money in the special fund account shall be used only for matching state funds or for the provision of community mental health services.”</w:t>
      </w:r>
    </w:p>
    <w:p w14:paraId="57705475" w14:textId="77777777" w:rsidR="00777337" w:rsidRDefault="00777337">
      <w:pPr>
        <w:ind w:left="360"/>
        <w:rPr>
          <w:rFonts w:ascii="Arial" w:hAnsi="Arial" w:cs="Arial"/>
          <w:sz w:val="22"/>
          <w:szCs w:val="22"/>
        </w:rPr>
      </w:pPr>
    </w:p>
    <w:p w14:paraId="12C09274" w14:textId="3D13414F" w:rsidR="00892ED5" w:rsidRDefault="00777337" w:rsidP="00892ED5">
      <w:pPr>
        <w:spacing w:after="60"/>
        <w:ind w:left="360"/>
        <w:rPr>
          <w:rFonts w:ascii="Arial" w:hAnsi="Arial" w:cs="Arial"/>
          <w:sz w:val="22"/>
          <w:szCs w:val="22"/>
        </w:rPr>
      </w:pPr>
      <w:r>
        <w:rPr>
          <w:rFonts w:ascii="Arial" w:hAnsi="Arial" w:cs="Arial"/>
          <w:sz w:val="22"/>
          <w:szCs w:val="22"/>
        </w:rPr>
        <w:t>When a CMHSP annually participates as a “Section 226a special fund account” CMHSP, the annual general fund appropriation from each county has to fulfill the statutory requirements set forth in Section 330.1311 (311) of Chapter 3 of the Michigan MHC.</w:t>
      </w:r>
      <w:r w:rsidR="00892ED5">
        <w:rPr>
          <w:rFonts w:ascii="Arial" w:hAnsi="Arial" w:cs="Arial"/>
          <w:sz w:val="22"/>
          <w:szCs w:val="22"/>
        </w:rPr>
        <w:t xml:space="preserve"> </w:t>
      </w:r>
      <w:r>
        <w:rPr>
          <w:rFonts w:ascii="Arial" w:hAnsi="Arial" w:cs="Arial"/>
          <w:sz w:val="22"/>
          <w:szCs w:val="22"/>
        </w:rPr>
        <w:t>Section 311 reads as follows:</w:t>
      </w:r>
    </w:p>
    <w:p w14:paraId="526761E3" w14:textId="77777777" w:rsidR="008E54F3" w:rsidRDefault="008E54F3" w:rsidP="00700885">
      <w:pPr>
        <w:contextualSpacing/>
        <w:rPr>
          <w:rFonts w:ascii="Arial" w:hAnsi="Arial" w:cs="Arial"/>
          <w:sz w:val="22"/>
          <w:szCs w:val="22"/>
        </w:rPr>
      </w:pPr>
    </w:p>
    <w:p w14:paraId="39AEC697" w14:textId="77777777" w:rsidR="00777337" w:rsidRDefault="00777337" w:rsidP="00700885">
      <w:pPr>
        <w:ind w:left="900" w:right="684"/>
        <w:contextualSpacing/>
        <w:rPr>
          <w:rFonts w:ascii="Arial" w:hAnsi="Arial" w:cs="Arial"/>
          <w:sz w:val="22"/>
          <w:szCs w:val="22"/>
        </w:rPr>
      </w:pPr>
      <w:r>
        <w:rPr>
          <w:rFonts w:ascii="Arial" w:hAnsi="Arial" w:cs="Arial"/>
          <w:sz w:val="22"/>
          <w:szCs w:val="22"/>
        </w:rPr>
        <w:t>“Section 311.  For those county community mental health boards that choose to create a special fund account pursuant to section 226a, the department shall not approve a budget under section 232 unless county funding for community mental health programs is provided at a dollar level at least equal to that made available to the county community mental health board in the fiscal year ending September 30, 1980.”</w:t>
      </w:r>
    </w:p>
    <w:p w14:paraId="01055451" w14:textId="77777777" w:rsidR="00777337" w:rsidRDefault="00777337">
      <w:pPr>
        <w:ind w:left="360" w:right="864"/>
        <w:rPr>
          <w:rFonts w:ascii="Arial" w:hAnsi="Arial" w:cs="Arial"/>
          <w:sz w:val="22"/>
          <w:szCs w:val="22"/>
        </w:rPr>
      </w:pPr>
    </w:p>
    <w:p w14:paraId="44806983" w14:textId="77777777" w:rsidR="007A2259" w:rsidRDefault="007A2259">
      <w:pPr>
        <w:ind w:left="360" w:right="864"/>
        <w:rPr>
          <w:rFonts w:ascii="Arial" w:hAnsi="Arial" w:cs="Arial"/>
          <w:sz w:val="22"/>
          <w:szCs w:val="22"/>
        </w:rPr>
      </w:pPr>
    </w:p>
    <w:p w14:paraId="0D5CA860" w14:textId="77777777" w:rsidR="00777337" w:rsidRDefault="00777337">
      <w:pPr>
        <w:ind w:left="360" w:right="180"/>
        <w:rPr>
          <w:rFonts w:ascii="Arial" w:hAnsi="Arial" w:cs="Arial"/>
          <w:sz w:val="22"/>
          <w:szCs w:val="22"/>
        </w:rPr>
      </w:pPr>
      <w:r>
        <w:rPr>
          <w:rFonts w:ascii="Arial" w:hAnsi="Arial" w:cs="Arial"/>
          <w:sz w:val="22"/>
          <w:szCs w:val="22"/>
        </w:rPr>
        <w:lastRenderedPageBreak/>
        <w:t xml:space="preserve">Said Section 311 of Chapter 3 of the Michigan MHC constitutes a statutory “maintenance of effort” requirement whereby the </w:t>
      </w:r>
      <w:r w:rsidR="00C41178">
        <w:rPr>
          <w:rFonts w:ascii="Arial" w:hAnsi="Arial" w:cs="Arial"/>
          <w:sz w:val="22"/>
          <w:szCs w:val="22"/>
        </w:rPr>
        <w:t>MDHHS</w:t>
      </w:r>
      <w:r>
        <w:rPr>
          <w:rFonts w:ascii="Arial" w:hAnsi="Arial" w:cs="Arial"/>
          <w:sz w:val="22"/>
          <w:szCs w:val="22"/>
        </w:rPr>
        <w:t xml:space="preserve"> shall not approve a contract budget of a participating CMHSP unless each county’s annual funding of the CMHSP is provided at a dollar level at least equal to that made available to the CMHSP board in the fiscal year ending September 30, 1980.</w:t>
      </w:r>
    </w:p>
    <w:p w14:paraId="36B42B64" w14:textId="77777777" w:rsidR="00777337" w:rsidRDefault="00777337">
      <w:pPr>
        <w:ind w:left="360"/>
        <w:rPr>
          <w:rFonts w:ascii="Arial" w:hAnsi="Arial" w:cs="Arial"/>
          <w:sz w:val="22"/>
          <w:szCs w:val="22"/>
        </w:rPr>
      </w:pPr>
    </w:p>
    <w:p w14:paraId="38F15DDD" w14:textId="77777777" w:rsidR="00777337" w:rsidRDefault="00777337">
      <w:pPr>
        <w:ind w:left="360"/>
        <w:rPr>
          <w:rFonts w:ascii="Arial" w:hAnsi="Arial" w:cs="Arial"/>
          <w:sz w:val="22"/>
          <w:szCs w:val="22"/>
        </w:rPr>
      </w:pPr>
      <w:r>
        <w:rPr>
          <w:rFonts w:ascii="Arial" w:hAnsi="Arial" w:cs="Arial"/>
          <w:sz w:val="22"/>
          <w:szCs w:val="22"/>
        </w:rPr>
        <w:t xml:space="preserve">The current Section 226a of Chapter 2 of the Michigan MHC is a statutory revision (effective March 28, 1996); Chapter 2 of the Michigan MHC originally was amended by Act 423 of the Public Acts of 1980 to include a “Section 226a” pertaining to a special fund account and its statutory requirements.  In effect, the purpose of Section 226a of Chapter 2 of the Michigan MHC has been to establish a revenue source (aside from county appropriations and other revenue sources) for a participating CMHSP to fulfill the local obligation under the </w:t>
      </w:r>
      <w:r w:rsidR="00C41178">
        <w:rPr>
          <w:rFonts w:ascii="Arial" w:hAnsi="Arial" w:cs="Arial"/>
          <w:sz w:val="22"/>
          <w:szCs w:val="22"/>
        </w:rPr>
        <w:t>MDHHS</w:t>
      </w:r>
      <w:r>
        <w:rPr>
          <w:rFonts w:ascii="Arial" w:hAnsi="Arial" w:cs="Arial"/>
          <w:sz w:val="22"/>
          <w:szCs w:val="22"/>
        </w:rPr>
        <w:t>/CMHSP master contract.</w:t>
      </w:r>
    </w:p>
    <w:p w14:paraId="1EAACC84" w14:textId="77777777" w:rsidR="00777337" w:rsidRDefault="00777337">
      <w:pPr>
        <w:ind w:left="360"/>
        <w:rPr>
          <w:rFonts w:ascii="Arial" w:hAnsi="Arial" w:cs="Arial"/>
          <w:sz w:val="22"/>
          <w:szCs w:val="22"/>
        </w:rPr>
      </w:pPr>
    </w:p>
    <w:p w14:paraId="1974A6A4" w14:textId="77777777" w:rsidR="00777337" w:rsidRDefault="00777337">
      <w:pPr>
        <w:numPr>
          <w:ilvl w:val="0"/>
          <w:numId w:val="2"/>
        </w:numPr>
        <w:tabs>
          <w:tab w:val="clear" w:pos="2160"/>
          <w:tab w:val="num" w:pos="360"/>
        </w:tabs>
        <w:spacing w:after="120"/>
        <w:ind w:left="360" w:hanging="720"/>
        <w:rPr>
          <w:rFonts w:ascii="Arial" w:hAnsi="Arial" w:cs="Arial"/>
          <w:b/>
          <w:sz w:val="28"/>
          <w:szCs w:val="28"/>
        </w:rPr>
      </w:pPr>
      <w:r>
        <w:rPr>
          <w:rFonts w:ascii="Arial" w:hAnsi="Arial" w:cs="Arial"/>
          <w:b/>
          <w:sz w:val="28"/>
          <w:szCs w:val="28"/>
        </w:rPr>
        <w:t>Report - Due Dates</w:t>
      </w:r>
    </w:p>
    <w:p w14:paraId="7913A00B" w14:textId="5E0FA3A7" w:rsidR="00FD7A31" w:rsidRDefault="00B40315">
      <w:pPr>
        <w:ind w:left="360"/>
        <w:rPr>
          <w:sz w:val="22"/>
          <w:szCs w:val="22"/>
        </w:rPr>
      </w:pPr>
      <w:r w:rsidRPr="002412A2">
        <w:rPr>
          <w:rFonts w:ascii="Arial" w:hAnsi="Arial" w:cs="Arial"/>
          <w:sz w:val="22"/>
          <w:szCs w:val="22"/>
        </w:rPr>
        <w:t xml:space="preserve">Refer to </w:t>
      </w:r>
      <w:r>
        <w:rPr>
          <w:rFonts w:ascii="Arial" w:hAnsi="Arial" w:cs="Arial"/>
          <w:sz w:val="22"/>
          <w:szCs w:val="22"/>
        </w:rPr>
        <w:t>the reporting grid incorporated in Attachment C</w:t>
      </w:r>
      <w:r w:rsidRPr="002412A2">
        <w:rPr>
          <w:rFonts w:ascii="Arial" w:hAnsi="Arial" w:cs="Arial"/>
          <w:sz w:val="22"/>
          <w:szCs w:val="22"/>
        </w:rPr>
        <w:t>.</w:t>
      </w:r>
      <w:r w:rsidR="00660E2D">
        <w:rPr>
          <w:rFonts w:ascii="Arial" w:hAnsi="Arial" w:cs="Arial"/>
          <w:sz w:val="22"/>
          <w:szCs w:val="22"/>
        </w:rPr>
        <w:t>6.5.1.1</w:t>
      </w:r>
      <w:r w:rsidRPr="002412A2">
        <w:rPr>
          <w:rFonts w:ascii="Arial" w:hAnsi="Arial" w:cs="Arial"/>
          <w:sz w:val="22"/>
          <w:szCs w:val="22"/>
        </w:rPr>
        <w:t xml:space="preserve"> of the </w:t>
      </w:r>
      <w:r>
        <w:rPr>
          <w:rFonts w:ascii="Arial" w:hAnsi="Arial" w:cs="Arial"/>
          <w:sz w:val="22"/>
          <w:szCs w:val="22"/>
        </w:rPr>
        <w:t>C</w:t>
      </w:r>
      <w:r w:rsidRPr="002412A2">
        <w:rPr>
          <w:rFonts w:ascii="Arial" w:hAnsi="Arial" w:cs="Arial"/>
          <w:sz w:val="22"/>
          <w:szCs w:val="22"/>
        </w:rPr>
        <w:t>ontract for identification of report due dates.</w:t>
      </w:r>
      <w:r>
        <w:rPr>
          <w:rFonts w:ascii="Arial" w:hAnsi="Arial" w:cs="Arial"/>
          <w:sz w:val="22"/>
          <w:szCs w:val="22"/>
        </w:rPr>
        <w:t xml:space="preserve">  </w:t>
      </w:r>
      <w:r w:rsidR="003107F1">
        <w:rPr>
          <w:rFonts w:ascii="Arial" w:hAnsi="Arial" w:cs="Arial"/>
          <w:sz w:val="22"/>
          <w:szCs w:val="22"/>
        </w:rPr>
        <w:t>Reporting requirements</w:t>
      </w:r>
      <w:r>
        <w:rPr>
          <w:rFonts w:ascii="Arial" w:hAnsi="Arial" w:cs="Arial"/>
          <w:sz w:val="22"/>
          <w:szCs w:val="22"/>
        </w:rPr>
        <w:t xml:space="preserve"> can be found on the </w:t>
      </w:r>
      <w:r w:rsidR="00C41178">
        <w:rPr>
          <w:rFonts w:ascii="Arial" w:hAnsi="Arial" w:cs="Arial"/>
          <w:sz w:val="22"/>
          <w:szCs w:val="22"/>
        </w:rPr>
        <w:t>MDHHS</w:t>
      </w:r>
      <w:r>
        <w:rPr>
          <w:rFonts w:ascii="Arial" w:hAnsi="Arial" w:cs="Arial"/>
          <w:sz w:val="22"/>
          <w:szCs w:val="22"/>
        </w:rPr>
        <w:t xml:space="preserve"> website:  </w:t>
      </w:r>
      <w:hyperlink r:id="rId8" w:history="1">
        <w:r w:rsidR="00FD7A31">
          <w:rPr>
            <w:rStyle w:val="Hyperlink"/>
            <w:rFonts w:ascii="ArialMT" w:hAnsi="ArialMT"/>
            <w:sz w:val="20"/>
            <w:szCs w:val="20"/>
          </w:rPr>
          <w:t>https://www.michigan.gov/mdh</w:t>
        </w:r>
        <w:r w:rsidR="00FD7A31">
          <w:rPr>
            <w:rStyle w:val="Hyperlink"/>
            <w:rFonts w:ascii="ArialMT" w:hAnsi="ArialMT"/>
            <w:sz w:val="20"/>
            <w:szCs w:val="20"/>
          </w:rPr>
          <w:t>h</w:t>
        </w:r>
        <w:r w:rsidR="00FD7A31">
          <w:rPr>
            <w:rStyle w:val="Hyperlink"/>
            <w:rFonts w:ascii="ArialMT" w:hAnsi="ArialMT"/>
            <w:sz w:val="20"/>
            <w:szCs w:val="20"/>
          </w:rPr>
          <w:t>s/0,5885,7-339-71550_2941_38765---,00.html</w:t>
        </w:r>
      </w:hyperlink>
    </w:p>
    <w:p w14:paraId="515EDBB8" w14:textId="77777777" w:rsidR="00777337" w:rsidRDefault="00777337" w:rsidP="00700885">
      <w:pPr>
        <w:rPr>
          <w:rFonts w:ascii="Arial" w:hAnsi="Arial" w:cs="Arial"/>
          <w:b/>
          <w:sz w:val="22"/>
          <w:szCs w:val="22"/>
        </w:rPr>
      </w:pPr>
    </w:p>
    <w:p w14:paraId="4AAF3735" w14:textId="26BD44B3" w:rsidR="00643B7E" w:rsidRPr="00892ED5" w:rsidRDefault="00777337" w:rsidP="00700885">
      <w:pPr>
        <w:numPr>
          <w:ilvl w:val="0"/>
          <w:numId w:val="2"/>
        </w:numPr>
        <w:tabs>
          <w:tab w:val="clear" w:pos="2160"/>
          <w:tab w:val="num" w:pos="360"/>
        </w:tabs>
        <w:spacing w:after="120"/>
        <w:ind w:left="360" w:hanging="720"/>
        <w:rPr>
          <w:rFonts w:ascii="Arial" w:hAnsi="Arial" w:cs="Arial"/>
          <w:b/>
        </w:rPr>
      </w:pPr>
      <w:r>
        <w:rPr>
          <w:rFonts w:ascii="Arial" w:hAnsi="Arial" w:cs="Arial"/>
          <w:b/>
          <w:sz w:val="28"/>
          <w:szCs w:val="28"/>
        </w:rPr>
        <w:t>Report Submission</w:t>
      </w:r>
    </w:p>
    <w:p w14:paraId="50667099" w14:textId="77777777" w:rsidR="00777337" w:rsidRDefault="00777337">
      <w:pPr>
        <w:ind w:left="1080"/>
        <w:rPr>
          <w:rFonts w:ascii="Arial" w:hAnsi="Arial" w:cs="Arial"/>
          <w:sz w:val="22"/>
          <w:szCs w:val="22"/>
        </w:rPr>
      </w:pPr>
    </w:p>
    <w:p w14:paraId="04FA7268" w14:textId="0DEF68DE" w:rsidR="00777337" w:rsidRDefault="00777337">
      <w:pPr>
        <w:spacing w:after="120"/>
        <w:ind w:left="1080" w:hanging="720"/>
        <w:rPr>
          <w:rFonts w:ascii="Arial" w:hAnsi="Arial" w:cs="Arial"/>
          <w:b/>
        </w:rPr>
      </w:pPr>
      <w:r>
        <w:rPr>
          <w:rFonts w:ascii="Arial" w:hAnsi="Arial" w:cs="Arial"/>
          <w:b/>
        </w:rPr>
        <w:t>3.</w:t>
      </w:r>
      <w:r w:rsidR="005F2D5F">
        <w:rPr>
          <w:rFonts w:ascii="Arial" w:hAnsi="Arial" w:cs="Arial"/>
          <w:b/>
        </w:rPr>
        <w:t>1</w:t>
      </w:r>
      <w:r>
        <w:rPr>
          <w:rFonts w:ascii="Arial" w:hAnsi="Arial" w:cs="Arial"/>
          <w:b/>
        </w:rPr>
        <w:tab/>
        <w:t>Report Submission – Electronic</w:t>
      </w:r>
    </w:p>
    <w:p w14:paraId="1703A493" w14:textId="77777777" w:rsidR="00777337" w:rsidRDefault="00777337">
      <w:pPr>
        <w:ind w:left="1080"/>
        <w:rPr>
          <w:rFonts w:ascii="Arial" w:hAnsi="Arial" w:cs="Arial"/>
          <w:sz w:val="22"/>
          <w:szCs w:val="22"/>
        </w:rPr>
      </w:pPr>
      <w:r>
        <w:rPr>
          <w:rFonts w:ascii="Arial" w:hAnsi="Arial" w:cs="Arial"/>
          <w:sz w:val="22"/>
          <w:szCs w:val="22"/>
        </w:rPr>
        <w:t xml:space="preserve">The report should be submitted electronically to the department by the due date identified in 2.0 above at </w:t>
      </w:r>
      <w:hyperlink r:id="rId9" w:history="1">
        <w:r w:rsidR="00C41178" w:rsidRPr="00C41178">
          <w:rPr>
            <w:rStyle w:val="Hyperlink"/>
            <w:rFonts w:ascii="Arial" w:hAnsi="Arial" w:cs="Arial"/>
            <w:sz w:val="22"/>
            <w:szCs w:val="22"/>
          </w:rPr>
          <w:t>MDHHS-BHDDA-Contracts-MGMT@michigan.gov</w:t>
        </w:r>
      </w:hyperlink>
      <w:r>
        <w:rPr>
          <w:rFonts w:ascii="Arial" w:hAnsi="Arial" w:cs="Arial"/>
          <w:sz w:val="22"/>
          <w:szCs w:val="22"/>
        </w:rPr>
        <w:t xml:space="preserve">.  </w:t>
      </w:r>
    </w:p>
    <w:p w14:paraId="01CD5600" w14:textId="77777777" w:rsidR="00777337" w:rsidRDefault="00777337">
      <w:pPr>
        <w:ind w:left="1080"/>
        <w:rPr>
          <w:rFonts w:ascii="Arial" w:hAnsi="Arial" w:cs="Arial"/>
          <w:sz w:val="22"/>
          <w:szCs w:val="22"/>
        </w:rPr>
      </w:pPr>
    </w:p>
    <w:p w14:paraId="3D68F320" w14:textId="4379AAD7" w:rsidR="007B1883" w:rsidRDefault="00B40315" w:rsidP="00B40315">
      <w:pPr>
        <w:ind w:left="1080" w:right="-180"/>
        <w:rPr>
          <w:rFonts w:ascii="Arial" w:hAnsi="Arial" w:cs="Arial"/>
          <w:sz w:val="22"/>
          <w:szCs w:val="22"/>
        </w:rPr>
      </w:pPr>
      <w:r>
        <w:rPr>
          <w:rFonts w:ascii="Arial" w:hAnsi="Arial" w:cs="Arial"/>
          <w:sz w:val="22"/>
          <w:szCs w:val="22"/>
        </w:rPr>
        <w:t>The report’s file name must identify the reporting fiscal year, period covered (submission type), agency name, report title</w:t>
      </w:r>
      <w:r w:rsidR="00892ED5">
        <w:rPr>
          <w:rFonts w:ascii="Arial" w:hAnsi="Arial" w:cs="Arial"/>
          <w:sz w:val="22"/>
          <w:szCs w:val="22"/>
        </w:rPr>
        <w:t>,</w:t>
      </w:r>
      <w:r>
        <w:rPr>
          <w:rFonts w:ascii="Arial" w:hAnsi="Arial" w:cs="Arial"/>
          <w:sz w:val="22"/>
          <w:szCs w:val="22"/>
        </w:rPr>
        <w:t xml:space="preserve"> and date of submission.  Example:  </w:t>
      </w:r>
    </w:p>
    <w:p w14:paraId="7E43E425" w14:textId="77777777" w:rsidR="007B1883" w:rsidRDefault="00B40315" w:rsidP="00B40315">
      <w:pPr>
        <w:ind w:left="1080" w:right="-180"/>
        <w:rPr>
          <w:rFonts w:ascii="Arial" w:hAnsi="Arial" w:cs="Arial"/>
          <w:sz w:val="22"/>
          <w:szCs w:val="22"/>
        </w:rPr>
      </w:pPr>
      <w:r>
        <w:rPr>
          <w:rFonts w:ascii="Arial" w:hAnsi="Arial" w:cs="Arial"/>
          <w:sz w:val="22"/>
          <w:szCs w:val="22"/>
        </w:rPr>
        <w:t xml:space="preserve">For the FY </w:t>
      </w:r>
      <w:r w:rsidR="00C41178">
        <w:rPr>
          <w:rFonts w:ascii="Arial" w:hAnsi="Arial" w:cs="Arial"/>
          <w:sz w:val="22"/>
          <w:szCs w:val="22"/>
        </w:rPr>
        <w:t>XX</w:t>
      </w:r>
      <w:r>
        <w:rPr>
          <w:rFonts w:ascii="Arial" w:hAnsi="Arial" w:cs="Arial"/>
          <w:sz w:val="22"/>
          <w:szCs w:val="22"/>
        </w:rPr>
        <w:t xml:space="preserve"> </w:t>
      </w:r>
      <w:r w:rsidR="002D2628">
        <w:rPr>
          <w:rFonts w:ascii="Arial" w:hAnsi="Arial" w:cs="Arial"/>
          <w:sz w:val="22"/>
          <w:szCs w:val="22"/>
        </w:rPr>
        <w:t xml:space="preserve">Second Quarter </w:t>
      </w:r>
      <w:r>
        <w:rPr>
          <w:rFonts w:ascii="Arial" w:hAnsi="Arial" w:cs="Arial"/>
          <w:sz w:val="22"/>
          <w:szCs w:val="22"/>
        </w:rPr>
        <w:t xml:space="preserve">report submitted from network180 for the </w:t>
      </w:r>
      <w:r w:rsidR="002D2628">
        <w:rPr>
          <w:rFonts w:ascii="Arial" w:hAnsi="Arial" w:cs="Arial"/>
          <w:sz w:val="22"/>
          <w:szCs w:val="22"/>
        </w:rPr>
        <w:t xml:space="preserve">Special </w:t>
      </w:r>
    </w:p>
    <w:p w14:paraId="0D946844" w14:textId="77777777" w:rsidR="007B1883" w:rsidRDefault="002D2628" w:rsidP="00B40315">
      <w:pPr>
        <w:ind w:left="1080" w:right="-180"/>
        <w:rPr>
          <w:rFonts w:ascii="Arial" w:hAnsi="Arial" w:cs="Arial"/>
          <w:b/>
          <w:sz w:val="22"/>
          <w:szCs w:val="22"/>
        </w:rPr>
      </w:pPr>
      <w:r>
        <w:rPr>
          <w:rFonts w:ascii="Arial" w:hAnsi="Arial" w:cs="Arial"/>
          <w:sz w:val="22"/>
          <w:szCs w:val="22"/>
        </w:rPr>
        <w:t>Fund Account</w:t>
      </w:r>
      <w:r w:rsidR="00B40315">
        <w:rPr>
          <w:rFonts w:ascii="Arial" w:hAnsi="Arial" w:cs="Arial"/>
          <w:sz w:val="22"/>
          <w:szCs w:val="22"/>
        </w:rPr>
        <w:t xml:space="preserve">, the file name should read </w:t>
      </w:r>
      <w:r w:rsidR="00B40315">
        <w:rPr>
          <w:rFonts w:ascii="Arial" w:hAnsi="Arial" w:cs="Arial"/>
          <w:b/>
          <w:sz w:val="22"/>
          <w:szCs w:val="22"/>
        </w:rPr>
        <w:t>FY</w:t>
      </w:r>
      <w:r>
        <w:rPr>
          <w:rFonts w:ascii="Arial" w:hAnsi="Arial" w:cs="Arial"/>
          <w:b/>
          <w:sz w:val="22"/>
          <w:szCs w:val="22"/>
        </w:rPr>
        <w:t>XX</w:t>
      </w:r>
      <w:r w:rsidR="00B40315">
        <w:rPr>
          <w:rFonts w:ascii="Arial" w:hAnsi="Arial" w:cs="Arial"/>
          <w:b/>
          <w:sz w:val="22"/>
          <w:szCs w:val="22"/>
        </w:rPr>
        <w:t xml:space="preserve"> </w:t>
      </w:r>
      <w:r>
        <w:rPr>
          <w:rFonts w:ascii="Arial" w:hAnsi="Arial" w:cs="Arial"/>
          <w:b/>
          <w:sz w:val="22"/>
          <w:szCs w:val="22"/>
        </w:rPr>
        <w:t xml:space="preserve">Q2 </w:t>
      </w:r>
      <w:r w:rsidR="00B40315">
        <w:rPr>
          <w:rFonts w:ascii="Arial" w:hAnsi="Arial" w:cs="Arial"/>
          <w:b/>
          <w:sz w:val="22"/>
          <w:szCs w:val="22"/>
        </w:rPr>
        <w:t xml:space="preserve">network180 </w:t>
      </w:r>
      <w:r>
        <w:rPr>
          <w:rFonts w:ascii="Arial" w:hAnsi="Arial" w:cs="Arial"/>
          <w:b/>
          <w:sz w:val="22"/>
          <w:szCs w:val="22"/>
        </w:rPr>
        <w:t xml:space="preserve">GF SPEC FUND </w:t>
      </w:r>
    </w:p>
    <w:p w14:paraId="1D1317DF" w14:textId="77777777" w:rsidR="00207BBF" w:rsidRDefault="002D2628" w:rsidP="00892ED5">
      <w:pPr>
        <w:ind w:left="1080" w:right="-540"/>
        <w:rPr>
          <w:rFonts w:ascii="Arial" w:hAnsi="Arial" w:cs="Arial"/>
          <w:sz w:val="22"/>
          <w:szCs w:val="22"/>
        </w:rPr>
      </w:pPr>
      <w:r>
        <w:rPr>
          <w:rFonts w:ascii="Arial" w:hAnsi="Arial" w:cs="Arial"/>
          <w:b/>
          <w:sz w:val="22"/>
          <w:szCs w:val="22"/>
        </w:rPr>
        <w:t>MM</w:t>
      </w:r>
      <w:r w:rsidR="00B40315">
        <w:rPr>
          <w:rFonts w:ascii="Arial" w:hAnsi="Arial" w:cs="Arial"/>
          <w:b/>
          <w:sz w:val="22"/>
          <w:szCs w:val="22"/>
        </w:rPr>
        <w:t>-</w:t>
      </w:r>
      <w:r>
        <w:rPr>
          <w:rFonts w:ascii="Arial" w:hAnsi="Arial" w:cs="Arial"/>
          <w:b/>
          <w:sz w:val="22"/>
          <w:szCs w:val="22"/>
        </w:rPr>
        <w:t>DD</w:t>
      </w:r>
      <w:r w:rsidR="00B40315">
        <w:rPr>
          <w:rFonts w:ascii="Arial" w:hAnsi="Arial" w:cs="Arial"/>
          <w:b/>
          <w:sz w:val="22"/>
          <w:szCs w:val="22"/>
        </w:rPr>
        <w:t>-</w:t>
      </w:r>
      <w:r>
        <w:rPr>
          <w:rFonts w:ascii="Arial" w:hAnsi="Arial" w:cs="Arial"/>
          <w:b/>
          <w:sz w:val="22"/>
          <w:szCs w:val="22"/>
        </w:rPr>
        <w:t>YYYY</w:t>
      </w:r>
      <w:r w:rsidR="00B40315">
        <w:rPr>
          <w:rFonts w:ascii="Arial" w:hAnsi="Arial" w:cs="Arial"/>
          <w:b/>
          <w:sz w:val="22"/>
          <w:szCs w:val="22"/>
        </w:rPr>
        <w:t>.</w:t>
      </w:r>
      <w:r w:rsidR="00892ED5" w:rsidRPr="00892ED5">
        <w:rPr>
          <w:rFonts w:ascii="Arial" w:hAnsi="Arial" w:cs="Arial"/>
          <w:sz w:val="22"/>
          <w:szCs w:val="22"/>
        </w:rPr>
        <w:t xml:space="preserve"> </w:t>
      </w:r>
    </w:p>
    <w:p w14:paraId="72D8C1CF" w14:textId="77777777" w:rsidR="00207BBF" w:rsidRDefault="00207BBF" w:rsidP="00892ED5">
      <w:pPr>
        <w:ind w:left="1080" w:right="-540"/>
        <w:rPr>
          <w:rFonts w:ascii="Arial" w:hAnsi="Arial" w:cs="Arial"/>
          <w:sz w:val="22"/>
          <w:szCs w:val="22"/>
        </w:rPr>
      </w:pPr>
    </w:p>
    <w:p w14:paraId="0754F6CF" w14:textId="59FA4FEB" w:rsidR="00892ED5" w:rsidRDefault="00892ED5" w:rsidP="00892ED5">
      <w:pPr>
        <w:ind w:left="1080" w:right="-540"/>
        <w:rPr>
          <w:rFonts w:ascii="Arial" w:hAnsi="Arial" w:cs="Arial"/>
          <w:sz w:val="22"/>
          <w:szCs w:val="22"/>
        </w:rPr>
      </w:pPr>
      <w:r>
        <w:rPr>
          <w:rFonts w:ascii="Arial" w:hAnsi="Arial" w:cs="Arial"/>
          <w:sz w:val="22"/>
          <w:szCs w:val="22"/>
        </w:rPr>
        <w:t>Refer to the Electronic Report Submission Guidelines for report submission specifications.</w:t>
      </w:r>
    </w:p>
    <w:p w14:paraId="11709FE5" w14:textId="618D2429" w:rsidR="00B40315" w:rsidRDefault="00B40315" w:rsidP="00B40315">
      <w:pPr>
        <w:ind w:left="1080" w:right="-180"/>
        <w:rPr>
          <w:rFonts w:ascii="Arial" w:hAnsi="Arial" w:cs="Arial"/>
          <w:b/>
          <w:sz w:val="22"/>
          <w:szCs w:val="22"/>
        </w:rPr>
      </w:pPr>
    </w:p>
    <w:p w14:paraId="2E541F68" w14:textId="77777777" w:rsidR="00777337" w:rsidRDefault="00777337">
      <w:pPr>
        <w:numPr>
          <w:ilvl w:val="0"/>
          <w:numId w:val="2"/>
        </w:numPr>
        <w:tabs>
          <w:tab w:val="clear" w:pos="2160"/>
          <w:tab w:val="num" w:pos="360"/>
        </w:tabs>
        <w:spacing w:after="120"/>
        <w:ind w:left="360" w:hanging="720"/>
        <w:rPr>
          <w:rFonts w:ascii="Arial" w:hAnsi="Arial" w:cs="Arial"/>
          <w:b/>
          <w:sz w:val="28"/>
          <w:szCs w:val="28"/>
        </w:rPr>
      </w:pPr>
      <w:r>
        <w:rPr>
          <w:rFonts w:ascii="Arial" w:hAnsi="Arial" w:cs="Arial"/>
          <w:b/>
          <w:sz w:val="28"/>
          <w:szCs w:val="28"/>
        </w:rPr>
        <w:t>Report Specific Navigation or Terminology</w:t>
      </w:r>
    </w:p>
    <w:p w14:paraId="6C45B7CA" w14:textId="77777777" w:rsidR="00777337" w:rsidRDefault="00777337">
      <w:pPr>
        <w:ind w:left="360"/>
        <w:rPr>
          <w:rFonts w:ascii="Arial" w:hAnsi="Arial" w:cs="Arial"/>
          <w:sz w:val="22"/>
          <w:szCs w:val="22"/>
        </w:rPr>
      </w:pPr>
      <w:r>
        <w:rPr>
          <w:rFonts w:ascii="Arial" w:hAnsi="Arial" w:cs="Arial"/>
          <w:sz w:val="22"/>
          <w:szCs w:val="22"/>
        </w:rPr>
        <w:t>The Special Fund Account worksheet includes cell shading to assist the end user with completion of the form.</w:t>
      </w:r>
    </w:p>
    <w:p w14:paraId="49A8A683" w14:textId="77777777" w:rsidR="00777337" w:rsidRDefault="00777337">
      <w:pPr>
        <w:ind w:left="360"/>
        <w:rPr>
          <w:rFonts w:ascii="Arial" w:hAnsi="Arial" w:cs="Arial"/>
          <w:sz w:val="22"/>
          <w:szCs w:val="22"/>
        </w:rPr>
      </w:pPr>
    </w:p>
    <w:p w14:paraId="6608B93E" w14:textId="77777777" w:rsidR="00777337" w:rsidRDefault="00777337" w:rsidP="003047FB">
      <w:pPr>
        <w:ind w:left="360"/>
        <w:rPr>
          <w:rFonts w:ascii="Arial" w:hAnsi="Arial" w:cs="Arial"/>
          <w:sz w:val="22"/>
          <w:szCs w:val="22"/>
        </w:rPr>
      </w:pPr>
      <w:r>
        <w:rPr>
          <w:rFonts w:ascii="Arial" w:hAnsi="Arial" w:cs="Arial"/>
          <w:sz w:val="22"/>
          <w:szCs w:val="22"/>
        </w:rPr>
        <w:t>Report headers are shaded in light green.</w:t>
      </w:r>
    </w:p>
    <w:p w14:paraId="77B76E90" w14:textId="77777777" w:rsidR="00777337" w:rsidRDefault="00777337">
      <w:pPr>
        <w:ind w:left="360"/>
        <w:rPr>
          <w:rFonts w:ascii="Arial" w:hAnsi="Arial" w:cs="Arial"/>
          <w:sz w:val="22"/>
          <w:szCs w:val="22"/>
        </w:rPr>
      </w:pPr>
    </w:p>
    <w:p w14:paraId="531991DB" w14:textId="77777777" w:rsidR="00777337" w:rsidRDefault="00777337" w:rsidP="003047FB">
      <w:pPr>
        <w:ind w:left="360"/>
        <w:rPr>
          <w:rFonts w:ascii="Arial" w:hAnsi="Arial" w:cs="Arial"/>
          <w:sz w:val="22"/>
          <w:szCs w:val="22"/>
        </w:rPr>
      </w:pPr>
      <w:r>
        <w:rPr>
          <w:rFonts w:ascii="Arial" w:hAnsi="Arial" w:cs="Arial"/>
          <w:sz w:val="22"/>
          <w:szCs w:val="22"/>
        </w:rPr>
        <w:t>Cells requiring data entry are shaded in yellow.</w:t>
      </w:r>
    </w:p>
    <w:p w14:paraId="13992BAC" w14:textId="77777777" w:rsidR="00777337" w:rsidRDefault="00777337" w:rsidP="003047FB">
      <w:pPr>
        <w:ind w:left="360"/>
        <w:rPr>
          <w:rFonts w:ascii="Arial" w:hAnsi="Arial" w:cs="Arial"/>
          <w:sz w:val="22"/>
          <w:szCs w:val="22"/>
        </w:rPr>
      </w:pPr>
      <w:r>
        <w:rPr>
          <w:rFonts w:ascii="Arial" w:hAnsi="Arial" w:cs="Arial"/>
          <w:sz w:val="22"/>
          <w:szCs w:val="22"/>
        </w:rPr>
        <w:t>Cells that are formula driven and should not have data entered are not shaded.</w:t>
      </w:r>
    </w:p>
    <w:p w14:paraId="762D2DF0" w14:textId="77777777" w:rsidR="00777337" w:rsidRDefault="00777337">
      <w:pPr>
        <w:ind w:left="360"/>
        <w:rPr>
          <w:rFonts w:ascii="Arial" w:hAnsi="Arial" w:cs="Arial"/>
          <w:sz w:val="22"/>
          <w:szCs w:val="22"/>
        </w:rPr>
      </w:pPr>
    </w:p>
    <w:p w14:paraId="3E4842D4" w14:textId="77777777" w:rsidR="00777337" w:rsidRDefault="00777337" w:rsidP="003047FB">
      <w:pPr>
        <w:ind w:left="360"/>
        <w:rPr>
          <w:rFonts w:ascii="Arial" w:hAnsi="Arial" w:cs="Arial"/>
          <w:sz w:val="22"/>
          <w:szCs w:val="22"/>
        </w:rPr>
      </w:pPr>
      <w:r>
        <w:rPr>
          <w:rFonts w:ascii="Arial" w:hAnsi="Arial" w:cs="Arial"/>
          <w:sz w:val="22"/>
          <w:szCs w:val="22"/>
        </w:rPr>
        <w:lastRenderedPageBreak/>
        <w:t>Select cells have conditional formatting applied so that if an erroneous entry is made the cell will turn orange.</w:t>
      </w:r>
    </w:p>
    <w:p w14:paraId="7538958E" w14:textId="77777777" w:rsidR="00777337" w:rsidRDefault="00777337">
      <w:pPr>
        <w:ind w:left="360"/>
        <w:rPr>
          <w:rFonts w:ascii="Arial" w:hAnsi="Arial" w:cs="Arial"/>
          <w:sz w:val="22"/>
          <w:szCs w:val="22"/>
        </w:rPr>
      </w:pPr>
    </w:p>
    <w:p w14:paraId="16CE60EC" w14:textId="77777777" w:rsidR="00777337" w:rsidRDefault="00777337" w:rsidP="003047FB">
      <w:pPr>
        <w:pStyle w:val="t"/>
        <w:spacing w:before="0" w:beforeAutospacing="0" w:after="0" w:afterAutospacing="0"/>
        <w:ind w:left="360"/>
        <w:rPr>
          <w:rFonts w:ascii="Arial" w:hAnsi="Arial" w:cs="Arial"/>
          <w:sz w:val="22"/>
          <w:szCs w:val="22"/>
        </w:rPr>
      </w:pPr>
      <w:r>
        <w:rPr>
          <w:rFonts w:ascii="Arial" w:hAnsi="Arial" w:cs="Arial"/>
          <w:sz w:val="22"/>
          <w:szCs w:val="22"/>
        </w:rPr>
        <w:t>Worksheet protection has been enabled.</w:t>
      </w:r>
    </w:p>
    <w:p w14:paraId="06690CCA" w14:textId="77777777" w:rsidR="00777337" w:rsidRDefault="00777337">
      <w:pPr>
        <w:pStyle w:val="t"/>
        <w:spacing w:before="0" w:beforeAutospacing="0" w:after="0" w:afterAutospacing="0"/>
        <w:ind w:left="360"/>
        <w:rPr>
          <w:rFonts w:ascii="Arial" w:hAnsi="Arial" w:cs="Arial"/>
          <w:sz w:val="22"/>
          <w:szCs w:val="22"/>
        </w:rPr>
      </w:pPr>
    </w:p>
    <w:p w14:paraId="071C46B3" w14:textId="77777777" w:rsidR="00777337" w:rsidRDefault="00777337" w:rsidP="003047FB">
      <w:pPr>
        <w:pStyle w:val="t"/>
        <w:spacing w:before="0" w:beforeAutospacing="0" w:after="0" w:afterAutospacing="0"/>
        <w:ind w:left="360"/>
        <w:rPr>
          <w:rFonts w:ascii="Arial" w:hAnsi="Arial" w:cs="Arial"/>
          <w:sz w:val="22"/>
          <w:szCs w:val="22"/>
        </w:rPr>
      </w:pPr>
      <w:r>
        <w:rPr>
          <w:rFonts w:ascii="Arial" w:hAnsi="Arial" w:cs="Arial"/>
          <w:sz w:val="22"/>
          <w:szCs w:val="22"/>
        </w:rPr>
        <w:t>Precision as displayed functionality has been enabled.  As such, Excel will utilize the displayed value instead of the stored value when it recalculates formulas.</w:t>
      </w:r>
    </w:p>
    <w:p w14:paraId="62D10609" w14:textId="77777777" w:rsidR="00697669" w:rsidRDefault="00697669">
      <w:pPr>
        <w:pStyle w:val="t"/>
        <w:spacing w:before="0" w:beforeAutospacing="0" w:after="0" w:afterAutospacing="0"/>
        <w:ind w:left="360"/>
        <w:rPr>
          <w:rFonts w:ascii="Arial" w:hAnsi="Arial" w:cs="Arial"/>
          <w:sz w:val="22"/>
          <w:szCs w:val="22"/>
        </w:rPr>
      </w:pPr>
    </w:p>
    <w:p w14:paraId="07E16C47" w14:textId="77777777" w:rsidR="00777337" w:rsidRDefault="00777337" w:rsidP="003047FB">
      <w:pPr>
        <w:pStyle w:val="t"/>
        <w:spacing w:before="0" w:beforeAutospacing="0" w:after="0" w:afterAutospacing="0"/>
        <w:ind w:left="360"/>
        <w:rPr>
          <w:rFonts w:ascii="Arial" w:hAnsi="Arial" w:cs="Arial"/>
          <w:sz w:val="22"/>
          <w:szCs w:val="22"/>
        </w:rPr>
      </w:pPr>
      <w:r>
        <w:rPr>
          <w:rFonts w:ascii="Arial" w:hAnsi="Arial" w:cs="Arial"/>
          <w:sz w:val="22"/>
          <w:szCs w:val="22"/>
        </w:rPr>
        <w:t>The ter</w:t>
      </w:r>
      <w:r w:rsidR="00697669">
        <w:rPr>
          <w:rFonts w:ascii="Arial" w:hAnsi="Arial" w:cs="Arial"/>
          <w:sz w:val="22"/>
          <w:szCs w:val="22"/>
        </w:rPr>
        <w:t>m</w:t>
      </w:r>
      <w:r>
        <w:rPr>
          <w:rFonts w:ascii="Arial" w:hAnsi="Arial" w:cs="Arial"/>
          <w:sz w:val="22"/>
          <w:szCs w:val="22"/>
        </w:rPr>
        <w:t xml:space="preserve"> “Submission Type” on the worksheet refers to the reporting period, i.e., 1</w:t>
      </w:r>
      <w:r>
        <w:rPr>
          <w:rFonts w:ascii="Arial" w:hAnsi="Arial" w:cs="Arial"/>
          <w:sz w:val="22"/>
          <w:szCs w:val="22"/>
          <w:vertAlign w:val="superscript"/>
        </w:rPr>
        <w:t>st</w:t>
      </w:r>
      <w:r>
        <w:rPr>
          <w:rFonts w:ascii="Arial" w:hAnsi="Arial" w:cs="Arial"/>
          <w:sz w:val="22"/>
          <w:szCs w:val="22"/>
        </w:rPr>
        <w:t xml:space="preserve"> quarter, 2</w:t>
      </w:r>
      <w:r>
        <w:rPr>
          <w:rFonts w:ascii="Arial" w:hAnsi="Arial" w:cs="Arial"/>
          <w:sz w:val="22"/>
          <w:szCs w:val="22"/>
          <w:vertAlign w:val="superscript"/>
        </w:rPr>
        <w:t>nd</w:t>
      </w:r>
      <w:r>
        <w:rPr>
          <w:rFonts w:ascii="Arial" w:hAnsi="Arial" w:cs="Arial"/>
          <w:sz w:val="22"/>
          <w:szCs w:val="22"/>
        </w:rPr>
        <w:t xml:space="preserve"> quarter, 3</w:t>
      </w:r>
      <w:r>
        <w:rPr>
          <w:rFonts w:ascii="Arial" w:hAnsi="Arial" w:cs="Arial"/>
          <w:sz w:val="22"/>
          <w:szCs w:val="22"/>
          <w:vertAlign w:val="superscript"/>
        </w:rPr>
        <w:t>rd</w:t>
      </w:r>
      <w:r>
        <w:rPr>
          <w:rFonts w:ascii="Arial" w:hAnsi="Arial" w:cs="Arial"/>
          <w:sz w:val="22"/>
          <w:szCs w:val="22"/>
        </w:rPr>
        <w:t xml:space="preserve"> quarter, 4</w:t>
      </w:r>
      <w:r>
        <w:rPr>
          <w:rFonts w:ascii="Arial" w:hAnsi="Arial" w:cs="Arial"/>
          <w:sz w:val="22"/>
          <w:szCs w:val="22"/>
          <w:vertAlign w:val="superscript"/>
        </w:rPr>
        <w:t>th</w:t>
      </w:r>
      <w:r>
        <w:rPr>
          <w:rFonts w:ascii="Arial" w:hAnsi="Arial" w:cs="Arial"/>
          <w:sz w:val="22"/>
          <w:szCs w:val="22"/>
        </w:rPr>
        <w:t xml:space="preserve"> quarter,</w:t>
      </w:r>
      <w:r w:rsidR="00EF70BB">
        <w:rPr>
          <w:rFonts w:ascii="Arial" w:hAnsi="Arial" w:cs="Arial"/>
          <w:sz w:val="22"/>
          <w:szCs w:val="22"/>
        </w:rPr>
        <w:t xml:space="preserve"> Projection,</w:t>
      </w:r>
      <w:r>
        <w:rPr>
          <w:rFonts w:ascii="Arial" w:hAnsi="Arial" w:cs="Arial"/>
          <w:sz w:val="22"/>
          <w:szCs w:val="22"/>
        </w:rPr>
        <w:t xml:space="preserve"> Interim, Final.</w:t>
      </w:r>
    </w:p>
    <w:p w14:paraId="6E038D92" w14:textId="77777777" w:rsidR="00697669" w:rsidRDefault="00697669">
      <w:pPr>
        <w:pStyle w:val="t"/>
        <w:spacing w:before="0" w:beforeAutospacing="0" w:after="0" w:afterAutospacing="0"/>
        <w:ind w:left="360"/>
        <w:rPr>
          <w:rFonts w:ascii="Arial" w:hAnsi="Arial" w:cs="Arial"/>
          <w:sz w:val="22"/>
          <w:szCs w:val="22"/>
        </w:rPr>
      </w:pPr>
    </w:p>
    <w:p w14:paraId="496D30C4" w14:textId="77777777" w:rsidR="00777337" w:rsidRDefault="00777337">
      <w:pPr>
        <w:numPr>
          <w:ilvl w:val="0"/>
          <w:numId w:val="2"/>
        </w:numPr>
        <w:tabs>
          <w:tab w:val="clear" w:pos="2160"/>
          <w:tab w:val="num" w:pos="360"/>
        </w:tabs>
        <w:spacing w:after="120"/>
        <w:ind w:left="360" w:hanging="720"/>
        <w:rPr>
          <w:rFonts w:ascii="Arial" w:hAnsi="Arial" w:cs="Arial"/>
          <w:b/>
          <w:sz w:val="28"/>
          <w:szCs w:val="28"/>
        </w:rPr>
      </w:pPr>
      <w:r>
        <w:rPr>
          <w:rFonts w:ascii="Arial" w:hAnsi="Arial" w:cs="Arial"/>
          <w:b/>
          <w:sz w:val="28"/>
          <w:szCs w:val="28"/>
        </w:rPr>
        <w:t>Instructions for Completion of the Report</w:t>
      </w:r>
    </w:p>
    <w:p w14:paraId="7CF4BB65" w14:textId="77777777" w:rsidR="00777337" w:rsidRDefault="00777337" w:rsidP="003047FB">
      <w:pPr>
        <w:spacing w:after="120"/>
        <w:ind w:left="360"/>
        <w:rPr>
          <w:rFonts w:ascii="Arial" w:hAnsi="Arial" w:cs="Arial"/>
          <w:sz w:val="22"/>
          <w:szCs w:val="22"/>
        </w:rPr>
      </w:pPr>
      <w:r>
        <w:rPr>
          <w:rFonts w:ascii="Arial" w:hAnsi="Arial" w:cs="Arial"/>
          <w:sz w:val="22"/>
          <w:szCs w:val="22"/>
        </w:rPr>
        <w:t>Enter the name of the CMHSP on the line labeled “CMHSP”.</w:t>
      </w:r>
    </w:p>
    <w:p w14:paraId="53C61CFB" w14:textId="77777777" w:rsidR="00777337" w:rsidRDefault="00777337" w:rsidP="003047FB">
      <w:pPr>
        <w:spacing w:after="120"/>
        <w:ind w:left="360"/>
        <w:rPr>
          <w:rFonts w:ascii="Arial" w:hAnsi="Arial" w:cs="Arial"/>
          <w:sz w:val="22"/>
          <w:szCs w:val="22"/>
        </w:rPr>
      </w:pPr>
      <w:r>
        <w:rPr>
          <w:rFonts w:ascii="Arial" w:hAnsi="Arial" w:cs="Arial"/>
          <w:sz w:val="22"/>
          <w:szCs w:val="22"/>
        </w:rPr>
        <w:t>Select the appropriate Fiscal Year (FY) from the drop down menu.</w:t>
      </w:r>
    </w:p>
    <w:p w14:paraId="7252BCCC" w14:textId="77777777" w:rsidR="00777337" w:rsidRDefault="00777337" w:rsidP="003047FB">
      <w:pPr>
        <w:spacing w:after="120"/>
        <w:ind w:left="360"/>
        <w:rPr>
          <w:rFonts w:ascii="Arial" w:hAnsi="Arial" w:cs="Arial"/>
          <w:sz w:val="22"/>
          <w:szCs w:val="22"/>
        </w:rPr>
      </w:pPr>
      <w:r>
        <w:rPr>
          <w:rFonts w:ascii="Arial" w:hAnsi="Arial" w:cs="Arial"/>
          <w:sz w:val="22"/>
          <w:szCs w:val="22"/>
        </w:rPr>
        <w:t>Select the Submission Type from the drop down menu.</w:t>
      </w:r>
    </w:p>
    <w:p w14:paraId="6B21C25C" w14:textId="77777777" w:rsidR="00777337" w:rsidRDefault="00777337" w:rsidP="003047FB">
      <w:pPr>
        <w:ind w:left="360"/>
        <w:rPr>
          <w:rFonts w:ascii="Arial" w:hAnsi="Arial" w:cs="Arial"/>
          <w:sz w:val="22"/>
          <w:szCs w:val="22"/>
        </w:rPr>
      </w:pPr>
      <w:r>
        <w:rPr>
          <w:rFonts w:ascii="Arial" w:hAnsi="Arial" w:cs="Arial"/>
          <w:sz w:val="22"/>
          <w:szCs w:val="22"/>
        </w:rPr>
        <w:t>Enter the date of report submission on the line labeled “Submission Date”.</w:t>
      </w:r>
    </w:p>
    <w:p w14:paraId="092A4520" w14:textId="77777777" w:rsidR="00BB50D2" w:rsidRDefault="00BB50D2">
      <w:pPr>
        <w:ind w:left="360"/>
        <w:rPr>
          <w:rFonts w:ascii="Arial" w:hAnsi="Arial" w:cs="Arial"/>
          <w:sz w:val="22"/>
          <w:szCs w:val="22"/>
        </w:rPr>
      </w:pPr>
    </w:p>
    <w:p w14:paraId="35AAA049" w14:textId="1B494868" w:rsidR="00BB50D2" w:rsidRDefault="00207BBF">
      <w:pPr>
        <w:ind w:left="360"/>
        <w:rPr>
          <w:rFonts w:ascii="Arial" w:hAnsi="Arial" w:cs="Arial"/>
          <w:sz w:val="22"/>
          <w:szCs w:val="22"/>
        </w:rPr>
      </w:pPr>
      <w:r w:rsidRPr="00207BBF">
        <w:rPr>
          <w:rFonts w:ascii="Arial" w:hAnsi="Arial" w:cs="Arial"/>
          <w:sz w:val="22"/>
          <w:szCs w:val="22"/>
          <w:u w:val="single"/>
        </w:rPr>
        <w:t>Note</w:t>
      </w:r>
      <w:r w:rsidR="00BB50D2">
        <w:rPr>
          <w:rFonts w:ascii="Arial" w:hAnsi="Arial" w:cs="Arial"/>
          <w:sz w:val="22"/>
          <w:szCs w:val="22"/>
        </w:rPr>
        <w:t xml:space="preserve">:  For the Interim and Final reports, the CMHSP should utilize the GF Special Fund Account – PA226a tab within the FSR Bundle.  </w:t>
      </w:r>
      <w:r w:rsidR="00BB50D2" w:rsidRPr="00EE2587">
        <w:rPr>
          <w:rFonts w:ascii="Arial" w:hAnsi="Arial" w:cs="Arial"/>
          <w:b/>
          <w:bCs/>
          <w:sz w:val="22"/>
          <w:szCs w:val="22"/>
        </w:rPr>
        <w:t>When utilizing the form within the FSR Bundle, the CMHSP name, fiscal year, submission type and date of report submission will be auto-populated from the All Non-Medicaid tab of the FSR Bundle.</w:t>
      </w:r>
    </w:p>
    <w:p w14:paraId="75F23BAB" w14:textId="77777777" w:rsidR="00CA0B74" w:rsidRDefault="00CA0B74" w:rsidP="00700885">
      <w:pPr>
        <w:spacing w:after="120"/>
        <w:rPr>
          <w:rFonts w:ascii="Arial" w:hAnsi="Arial" w:cs="Arial"/>
          <w:b/>
        </w:rPr>
      </w:pPr>
    </w:p>
    <w:p w14:paraId="68E807FA" w14:textId="77777777" w:rsidR="00777337" w:rsidRDefault="00777337">
      <w:pPr>
        <w:spacing w:after="120"/>
        <w:ind w:left="1080" w:hanging="720"/>
        <w:rPr>
          <w:rFonts w:ascii="Arial" w:hAnsi="Arial" w:cs="Arial"/>
          <w:b/>
        </w:rPr>
      </w:pPr>
      <w:r>
        <w:rPr>
          <w:rFonts w:ascii="Arial" w:hAnsi="Arial" w:cs="Arial"/>
          <w:b/>
        </w:rPr>
        <w:t>5.1</w:t>
      </w:r>
      <w:r>
        <w:rPr>
          <w:rFonts w:ascii="Arial" w:hAnsi="Arial" w:cs="Arial"/>
          <w:b/>
        </w:rPr>
        <w:tab/>
        <w:t>Part A – Mental Health Code (MHC) 330.1311 – County Funding Level</w:t>
      </w:r>
    </w:p>
    <w:p w14:paraId="28870193" w14:textId="77777777" w:rsidR="00777337" w:rsidRDefault="00777337">
      <w:pPr>
        <w:ind w:left="1080" w:right="-396"/>
        <w:rPr>
          <w:rFonts w:ascii="Arial" w:hAnsi="Arial" w:cs="Arial"/>
          <w:sz w:val="22"/>
          <w:szCs w:val="22"/>
        </w:rPr>
      </w:pPr>
      <w:r>
        <w:rPr>
          <w:rFonts w:ascii="Arial" w:hAnsi="Arial" w:cs="Arial"/>
          <w:sz w:val="22"/>
          <w:szCs w:val="22"/>
        </w:rPr>
        <w:t xml:space="preserve">Approval for participation in the 226a Special Fund Account is contingent upon county funding for the </w:t>
      </w:r>
      <w:smartTag w:uri="urn:schemas-microsoft-com:office:smarttags" w:element="PlaceType">
        <w:r>
          <w:rPr>
            <w:rFonts w:ascii="Arial" w:hAnsi="Arial" w:cs="Arial"/>
            <w:sz w:val="22"/>
            <w:szCs w:val="22"/>
          </w:rPr>
          <w:t>county</w:t>
        </w:r>
      </w:smartTag>
      <w:r>
        <w:rPr>
          <w:rFonts w:ascii="Arial" w:hAnsi="Arial" w:cs="Arial"/>
          <w:sz w:val="22"/>
          <w:szCs w:val="22"/>
        </w:rPr>
        <w:t xml:space="preserve"> </w:t>
      </w:r>
      <w:smartTag w:uri="urn:schemas-microsoft-com:office:smarttags" w:element="PlaceName">
        <w:r>
          <w:rPr>
            <w:rFonts w:ascii="Arial" w:hAnsi="Arial" w:cs="Arial"/>
            <w:sz w:val="22"/>
            <w:szCs w:val="22"/>
          </w:rPr>
          <w:t>CMHSP</w:t>
        </w:r>
      </w:smartTag>
      <w:r>
        <w:rPr>
          <w:rFonts w:ascii="Arial" w:hAnsi="Arial" w:cs="Arial"/>
          <w:sz w:val="22"/>
          <w:szCs w:val="22"/>
        </w:rPr>
        <w:t xml:space="preserve"> at a dollar level at least equal to that made available to the </w:t>
      </w:r>
      <w:smartTag w:uri="urn:schemas-microsoft-com:office:smarttags" w:element="place">
        <w:smartTag w:uri="urn:schemas-microsoft-com:office:smarttags" w:element="PlaceType">
          <w:r>
            <w:rPr>
              <w:rFonts w:ascii="Arial" w:hAnsi="Arial" w:cs="Arial"/>
              <w:sz w:val="22"/>
              <w:szCs w:val="22"/>
            </w:rPr>
            <w:t>county</w:t>
          </w:r>
        </w:smartTag>
        <w:r>
          <w:rPr>
            <w:rFonts w:ascii="Arial" w:hAnsi="Arial" w:cs="Arial"/>
            <w:sz w:val="22"/>
            <w:szCs w:val="22"/>
          </w:rPr>
          <w:t xml:space="preserve"> </w:t>
        </w:r>
        <w:smartTag w:uri="urn:schemas-microsoft-com:office:smarttags" w:element="PlaceName">
          <w:r>
            <w:rPr>
              <w:rFonts w:ascii="Arial" w:hAnsi="Arial" w:cs="Arial"/>
              <w:sz w:val="22"/>
              <w:szCs w:val="22"/>
            </w:rPr>
            <w:t>CMHSP</w:t>
          </w:r>
        </w:smartTag>
      </w:smartTag>
      <w:r>
        <w:rPr>
          <w:rFonts w:ascii="Arial" w:hAnsi="Arial" w:cs="Arial"/>
          <w:sz w:val="22"/>
          <w:szCs w:val="22"/>
        </w:rPr>
        <w:t xml:space="preserve"> by the county board of commissioners in the fiscal year ending September 30, 1980 as well as other participation requirements contained in the MHC.  This section represents the maintenance of local funding level that must be met and the current fiscal year county appropriation funding level.</w:t>
      </w:r>
    </w:p>
    <w:p w14:paraId="5E5432A0" w14:textId="77777777" w:rsidR="00777337" w:rsidRDefault="00777337">
      <w:pPr>
        <w:ind w:left="1080"/>
        <w:rPr>
          <w:rFonts w:ascii="Arial" w:hAnsi="Arial" w:cs="Arial"/>
          <w:sz w:val="22"/>
          <w:szCs w:val="22"/>
        </w:rPr>
      </w:pPr>
    </w:p>
    <w:p w14:paraId="5F27163D" w14:textId="77777777" w:rsidR="00777337" w:rsidRDefault="00777337">
      <w:pPr>
        <w:ind w:left="1080"/>
        <w:rPr>
          <w:rFonts w:ascii="Arial" w:hAnsi="Arial" w:cs="Arial"/>
          <w:b/>
          <w:sz w:val="22"/>
          <w:szCs w:val="22"/>
        </w:rPr>
      </w:pPr>
      <w:r>
        <w:rPr>
          <w:rFonts w:ascii="Arial" w:hAnsi="Arial" w:cs="Arial"/>
          <w:b/>
          <w:sz w:val="22"/>
          <w:szCs w:val="22"/>
        </w:rPr>
        <w:t>Part A.1 – County Funding – 1979/1980</w:t>
      </w:r>
    </w:p>
    <w:p w14:paraId="798D147F" w14:textId="77777777" w:rsidR="00777337" w:rsidRDefault="00777337">
      <w:pPr>
        <w:ind w:left="1080"/>
        <w:rPr>
          <w:rFonts w:ascii="Arial" w:hAnsi="Arial" w:cs="Arial"/>
          <w:sz w:val="22"/>
          <w:szCs w:val="22"/>
        </w:rPr>
      </w:pPr>
      <w:r>
        <w:rPr>
          <w:rFonts w:ascii="Arial" w:hAnsi="Arial" w:cs="Arial"/>
          <w:sz w:val="22"/>
          <w:szCs w:val="22"/>
        </w:rPr>
        <w:t>Enter the amount of the county maintenance of effort requirement for participation in the Special Fund Account as established in fiscal year ending September 30, 1980.</w:t>
      </w:r>
    </w:p>
    <w:p w14:paraId="34585362" w14:textId="77777777" w:rsidR="00777337" w:rsidRDefault="00777337">
      <w:pPr>
        <w:ind w:left="1080"/>
        <w:rPr>
          <w:rFonts w:ascii="Arial" w:hAnsi="Arial" w:cs="Arial"/>
          <w:sz w:val="22"/>
          <w:szCs w:val="22"/>
        </w:rPr>
      </w:pPr>
    </w:p>
    <w:p w14:paraId="3B83AB32" w14:textId="77777777" w:rsidR="00777337" w:rsidRDefault="00777337">
      <w:pPr>
        <w:ind w:left="1080"/>
        <w:rPr>
          <w:rFonts w:ascii="Arial" w:hAnsi="Arial" w:cs="Arial"/>
          <w:b/>
          <w:sz w:val="22"/>
          <w:szCs w:val="22"/>
        </w:rPr>
      </w:pPr>
      <w:r>
        <w:rPr>
          <w:rFonts w:ascii="Arial" w:hAnsi="Arial" w:cs="Arial"/>
          <w:b/>
          <w:sz w:val="22"/>
          <w:szCs w:val="22"/>
        </w:rPr>
        <w:t>Part A.2 – County Funding – Current Fiscal Year</w:t>
      </w:r>
    </w:p>
    <w:p w14:paraId="454B79C7" w14:textId="77777777" w:rsidR="00777337" w:rsidRDefault="00777337">
      <w:pPr>
        <w:ind w:left="1080"/>
        <w:rPr>
          <w:rFonts w:ascii="Arial" w:hAnsi="Arial" w:cs="Arial"/>
          <w:sz w:val="22"/>
          <w:szCs w:val="22"/>
        </w:rPr>
      </w:pPr>
      <w:r>
        <w:rPr>
          <w:rFonts w:ascii="Arial" w:hAnsi="Arial" w:cs="Arial"/>
          <w:sz w:val="22"/>
          <w:szCs w:val="22"/>
        </w:rPr>
        <w:t xml:space="preserve">Enter the current amount of revenues generated and appropriated by the county board(s) of commissioners during the current fiscal year. </w:t>
      </w:r>
    </w:p>
    <w:p w14:paraId="7B8B8E3F" w14:textId="77777777" w:rsidR="00777337" w:rsidRDefault="00777337">
      <w:pPr>
        <w:ind w:left="1080"/>
        <w:rPr>
          <w:rFonts w:ascii="Arial" w:hAnsi="Arial" w:cs="Arial"/>
          <w:b/>
          <w:sz w:val="22"/>
          <w:szCs w:val="22"/>
        </w:rPr>
      </w:pPr>
    </w:p>
    <w:p w14:paraId="33DD079D" w14:textId="77777777" w:rsidR="00777337" w:rsidRDefault="00777337">
      <w:pPr>
        <w:spacing w:after="120"/>
        <w:ind w:left="1080" w:hanging="720"/>
        <w:rPr>
          <w:rFonts w:ascii="Arial" w:hAnsi="Arial" w:cs="Arial"/>
          <w:b/>
        </w:rPr>
      </w:pPr>
      <w:r>
        <w:rPr>
          <w:rFonts w:ascii="Arial" w:hAnsi="Arial" w:cs="Arial"/>
          <w:b/>
        </w:rPr>
        <w:t>5.2</w:t>
      </w:r>
      <w:r>
        <w:rPr>
          <w:rFonts w:ascii="Arial" w:hAnsi="Arial" w:cs="Arial"/>
          <w:b/>
        </w:rPr>
        <w:tab/>
        <w:t>Part B – Mental Health Code (MHC) 330.1226a – Cash Collections</w:t>
      </w:r>
    </w:p>
    <w:p w14:paraId="4179EE46" w14:textId="77777777" w:rsidR="00777337" w:rsidRDefault="00777337">
      <w:pPr>
        <w:spacing w:after="120"/>
        <w:ind w:left="1080"/>
        <w:rPr>
          <w:rFonts w:ascii="Arial" w:hAnsi="Arial" w:cs="Arial"/>
          <w:b/>
        </w:rPr>
      </w:pPr>
      <w:r>
        <w:rPr>
          <w:rFonts w:ascii="Arial" w:hAnsi="Arial" w:cs="Arial"/>
          <w:b/>
        </w:rPr>
        <w:t>Year to Date by Service Category and Source</w:t>
      </w:r>
    </w:p>
    <w:p w14:paraId="7DB6BDE8" w14:textId="77777777" w:rsidR="00777337" w:rsidRDefault="00777337">
      <w:pPr>
        <w:ind w:left="1080"/>
        <w:rPr>
          <w:rFonts w:ascii="Arial" w:hAnsi="Arial" w:cs="Arial"/>
          <w:sz w:val="22"/>
          <w:szCs w:val="22"/>
        </w:rPr>
      </w:pPr>
      <w:r>
        <w:rPr>
          <w:rFonts w:ascii="Arial" w:hAnsi="Arial" w:cs="Arial"/>
          <w:sz w:val="22"/>
          <w:szCs w:val="22"/>
        </w:rPr>
        <w:lastRenderedPageBreak/>
        <w:t xml:space="preserve">This section represents the year-to-date collections by the CMHSP from financially liable individuals and insurers in the current fiscal year.  Reimbursements collected from the Michigan Medical Assistance Program (Medicaid) and reimbursements paid by individuals or their legal representatives from supplemental security income (SSI) benefits received by individuals for care and resident allowance shall not be collected or recorded as a recipient fee or third-party reimbursement for purposes of Section 226a of the MHC.  The current state fiscal year collection from fees and reimbursements are to be reported by type of service and by source of payment and must be reported on a cash basis of accounting.  </w:t>
      </w:r>
    </w:p>
    <w:p w14:paraId="66A05C3F" w14:textId="77777777" w:rsidR="00777337" w:rsidRDefault="00777337">
      <w:pPr>
        <w:ind w:left="1080"/>
        <w:rPr>
          <w:rFonts w:ascii="Arial" w:hAnsi="Arial" w:cs="Arial"/>
          <w:sz w:val="22"/>
          <w:szCs w:val="22"/>
        </w:rPr>
      </w:pPr>
    </w:p>
    <w:p w14:paraId="30FFDD8A" w14:textId="77777777" w:rsidR="00777337" w:rsidRDefault="00777337">
      <w:pPr>
        <w:ind w:left="1080"/>
        <w:rPr>
          <w:rFonts w:ascii="Arial" w:hAnsi="Arial" w:cs="Arial"/>
          <w:sz w:val="22"/>
          <w:szCs w:val="22"/>
        </w:rPr>
      </w:pPr>
      <w:r>
        <w:rPr>
          <w:rFonts w:ascii="Arial" w:hAnsi="Arial" w:cs="Arial"/>
          <w:b/>
          <w:sz w:val="22"/>
          <w:szCs w:val="22"/>
        </w:rPr>
        <w:t>Service Category –</w:t>
      </w:r>
      <w:r>
        <w:rPr>
          <w:rFonts w:ascii="Arial" w:hAnsi="Arial" w:cs="Arial"/>
          <w:sz w:val="22"/>
          <w:szCs w:val="22"/>
        </w:rPr>
        <w:t xml:space="preserve"> This column represents the types of services for the CMHSP recipient fee reimbursements. </w:t>
      </w:r>
    </w:p>
    <w:p w14:paraId="62E2CC40" w14:textId="77777777" w:rsidR="00777337" w:rsidRDefault="00777337">
      <w:pPr>
        <w:ind w:left="1080"/>
        <w:rPr>
          <w:rFonts w:ascii="Arial" w:hAnsi="Arial" w:cs="Arial"/>
          <w:sz w:val="22"/>
          <w:szCs w:val="22"/>
        </w:rPr>
      </w:pPr>
    </w:p>
    <w:p w14:paraId="31C29A47" w14:textId="77777777" w:rsidR="00777337" w:rsidRDefault="00777337">
      <w:pPr>
        <w:ind w:left="1080"/>
        <w:rPr>
          <w:rFonts w:ascii="Arial" w:hAnsi="Arial" w:cs="Arial"/>
          <w:sz w:val="22"/>
          <w:szCs w:val="22"/>
        </w:rPr>
      </w:pPr>
      <w:r>
        <w:rPr>
          <w:rFonts w:ascii="Arial" w:hAnsi="Arial" w:cs="Arial"/>
          <w:b/>
          <w:sz w:val="22"/>
          <w:szCs w:val="22"/>
        </w:rPr>
        <w:t>(1) Individuals Relatives –</w:t>
      </w:r>
      <w:r>
        <w:rPr>
          <w:rFonts w:ascii="Arial" w:hAnsi="Arial" w:cs="Arial"/>
          <w:sz w:val="22"/>
          <w:szCs w:val="22"/>
        </w:rPr>
        <w:t xml:space="preserve"> This column represents the cash collected by the CMHSP for recipient fee reimbursements from individuals and relatives. </w:t>
      </w:r>
    </w:p>
    <w:p w14:paraId="11A56645" w14:textId="77777777" w:rsidR="00777337" w:rsidRDefault="00777337">
      <w:pPr>
        <w:ind w:left="1080"/>
        <w:rPr>
          <w:rFonts w:ascii="Arial" w:hAnsi="Arial" w:cs="Arial"/>
          <w:sz w:val="22"/>
          <w:szCs w:val="22"/>
        </w:rPr>
      </w:pPr>
    </w:p>
    <w:p w14:paraId="11511BB1" w14:textId="77777777" w:rsidR="00777337" w:rsidRDefault="00777337">
      <w:pPr>
        <w:ind w:left="1080"/>
        <w:rPr>
          <w:rFonts w:ascii="Arial" w:hAnsi="Arial" w:cs="Arial"/>
          <w:sz w:val="22"/>
          <w:szCs w:val="22"/>
        </w:rPr>
      </w:pPr>
      <w:r>
        <w:rPr>
          <w:rFonts w:ascii="Arial" w:hAnsi="Arial" w:cs="Arial"/>
          <w:b/>
          <w:sz w:val="22"/>
          <w:szCs w:val="22"/>
        </w:rPr>
        <w:t>(2) Insurers Including Medicare –</w:t>
      </w:r>
      <w:r>
        <w:rPr>
          <w:rFonts w:ascii="Arial" w:hAnsi="Arial" w:cs="Arial"/>
          <w:sz w:val="22"/>
          <w:szCs w:val="22"/>
        </w:rPr>
        <w:t xml:space="preserve"> This column represents cash collected by the CMHSP for recipient fee reimbursements from insurers including Medicare.</w:t>
      </w:r>
    </w:p>
    <w:p w14:paraId="6FA018BC" w14:textId="77777777" w:rsidR="00777337" w:rsidRDefault="00777337">
      <w:pPr>
        <w:ind w:left="1080"/>
        <w:rPr>
          <w:rFonts w:ascii="Arial" w:hAnsi="Arial" w:cs="Arial"/>
          <w:sz w:val="22"/>
          <w:szCs w:val="22"/>
        </w:rPr>
      </w:pPr>
    </w:p>
    <w:p w14:paraId="6BE1D06B" w14:textId="77777777" w:rsidR="00777337" w:rsidRDefault="00777337">
      <w:pPr>
        <w:ind w:left="1080"/>
        <w:rPr>
          <w:rFonts w:ascii="Arial" w:hAnsi="Arial" w:cs="Arial"/>
          <w:b/>
          <w:sz w:val="22"/>
          <w:szCs w:val="22"/>
        </w:rPr>
      </w:pPr>
      <w:r w:rsidRPr="007B1883">
        <w:rPr>
          <w:rFonts w:ascii="Arial" w:hAnsi="Arial" w:cs="Arial"/>
          <w:b/>
          <w:sz w:val="22"/>
          <w:szCs w:val="22"/>
        </w:rPr>
        <w:t>(3)</w:t>
      </w:r>
      <w:r>
        <w:rPr>
          <w:rFonts w:ascii="Arial" w:hAnsi="Arial" w:cs="Arial"/>
          <w:sz w:val="22"/>
          <w:szCs w:val="22"/>
        </w:rPr>
        <w:t xml:space="preserve"> </w:t>
      </w:r>
      <w:r>
        <w:rPr>
          <w:rFonts w:ascii="Arial" w:hAnsi="Arial" w:cs="Arial"/>
          <w:b/>
          <w:sz w:val="22"/>
          <w:szCs w:val="22"/>
        </w:rPr>
        <w:t>Medicaid Health Plan Organizations</w:t>
      </w:r>
      <w:r>
        <w:rPr>
          <w:rFonts w:ascii="Arial" w:hAnsi="Arial" w:cs="Arial"/>
          <w:sz w:val="22"/>
          <w:szCs w:val="22"/>
        </w:rPr>
        <w:t xml:space="preserve"> - This column represents cash collected by the CMHSP for recipient fee reimbursements from Medicaid Health Plan Organizations (MHP). </w:t>
      </w:r>
      <w:r>
        <w:rPr>
          <w:rFonts w:ascii="Arial" w:hAnsi="Arial" w:cs="Arial"/>
          <w:b/>
          <w:sz w:val="22"/>
          <w:szCs w:val="22"/>
        </w:rPr>
        <w:t>These amounts must be reported in compliance with the terms of contract section 7.2.4.</w:t>
      </w:r>
    </w:p>
    <w:p w14:paraId="59AF7A9F" w14:textId="77777777" w:rsidR="00CA0B74" w:rsidRDefault="00CA0B74" w:rsidP="00700885">
      <w:pPr>
        <w:rPr>
          <w:rFonts w:ascii="Arial" w:hAnsi="Arial" w:cs="Arial"/>
          <w:b/>
          <w:sz w:val="22"/>
          <w:szCs w:val="22"/>
        </w:rPr>
      </w:pPr>
    </w:p>
    <w:p w14:paraId="3C000585" w14:textId="77777777" w:rsidR="00EF70BB" w:rsidRDefault="00777337">
      <w:pPr>
        <w:ind w:left="1080"/>
        <w:rPr>
          <w:rFonts w:ascii="Arial" w:hAnsi="Arial" w:cs="Arial"/>
          <w:b/>
          <w:sz w:val="22"/>
          <w:szCs w:val="22"/>
        </w:rPr>
      </w:pPr>
      <w:r>
        <w:rPr>
          <w:rFonts w:ascii="Arial" w:hAnsi="Arial" w:cs="Arial"/>
          <w:b/>
          <w:sz w:val="22"/>
          <w:szCs w:val="22"/>
        </w:rPr>
        <w:t>(4) Total –</w:t>
      </w:r>
      <w:r>
        <w:rPr>
          <w:rFonts w:ascii="Arial" w:hAnsi="Arial" w:cs="Arial"/>
          <w:sz w:val="22"/>
          <w:szCs w:val="22"/>
        </w:rPr>
        <w:t xml:space="preserve"> This column represent</w:t>
      </w:r>
      <w:r w:rsidR="00DC550E">
        <w:rPr>
          <w:rFonts w:ascii="Arial" w:hAnsi="Arial" w:cs="Arial"/>
          <w:sz w:val="22"/>
          <w:szCs w:val="22"/>
        </w:rPr>
        <w:t>s</w:t>
      </w:r>
      <w:r>
        <w:rPr>
          <w:rFonts w:ascii="Arial" w:hAnsi="Arial" w:cs="Arial"/>
          <w:sz w:val="22"/>
          <w:szCs w:val="22"/>
        </w:rPr>
        <w:t xml:space="preserve"> the total cash collected by the CMHSP for recipient fee reimbursements for each service category.  This column is formula driven.  The formula is the </w:t>
      </w:r>
      <w:r>
        <w:rPr>
          <w:rFonts w:ascii="Arial" w:hAnsi="Arial" w:cs="Arial"/>
          <w:i/>
          <w:sz w:val="22"/>
          <w:szCs w:val="22"/>
        </w:rPr>
        <w:t>sum of Individuals Relatives, Insurers Including Medicare and Medicaid health Plan Organizations.</w:t>
      </w:r>
    </w:p>
    <w:p w14:paraId="67E09E66" w14:textId="77777777" w:rsidR="00EF70BB" w:rsidRDefault="00EF70BB">
      <w:pPr>
        <w:ind w:left="1080"/>
        <w:rPr>
          <w:rFonts w:ascii="Arial" w:hAnsi="Arial" w:cs="Arial"/>
          <w:b/>
          <w:sz w:val="22"/>
          <w:szCs w:val="22"/>
        </w:rPr>
      </w:pPr>
    </w:p>
    <w:p w14:paraId="2F299C27" w14:textId="77777777" w:rsidR="00777337" w:rsidRDefault="00777337">
      <w:pPr>
        <w:ind w:left="1080"/>
        <w:rPr>
          <w:rFonts w:ascii="Arial" w:hAnsi="Arial" w:cs="Arial"/>
          <w:b/>
          <w:sz w:val="22"/>
          <w:szCs w:val="22"/>
        </w:rPr>
      </w:pPr>
      <w:r>
        <w:rPr>
          <w:rFonts w:ascii="Arial" w:hAnsi="Arial" w:cs="Arial"/>
          <w:b/>
          <w:sz w:val="22"/>
          <w:szCs w:val="22"/>
        </w:rPr>
        <w:t>Part B.1 – Inpatient Services</w:t>
      </w:r>
    </w:p>
    <w:p w14:paraId="6A5849A0" w14:textId="77777777" w:rsidR="00777337" w:rsidRDefault="00777337">
      <w:pPr>
        <w:ind w:left="1080"/>
        <w:rPr>
          <w:rFonts w:ascii="Arial" w:hAnsi="Arial" w:cs="Arial"/>
          <w:sz w:val="22"/>
          <w:szCs w:val="22"/>
        </w:rPr>
      </w:pPr>
      <w:r>
        <w:rPr>
          <w:rFonts w:ascii="Arial" w:hAnsi="Arial" w:cs="Arial"/>
          <w:sz w:val="22"/>
          <w:szCs w:val="22"/>
        </w:rPr>
        <w:t>Enter the cash collected for recipient reimbursements from Individuals Relatives and Insurers Including Medicare for the inpatient services service category.</w:t>
      </w:r>
    </w:p>
    <w:p w14:paraId="580D6793" w14:textId="77777777" w:rsidR="00777337" w:rsidRDefault="00777337">
      <w:pPr>
        <w:ind w:left="1080"/>
        <w:rPr>
          <w:rFonts w:ascii="Arial" w:hAnsi="Arial" w:cs="Arial"/>
          <w:sz w:val="22"/>
          <w:szCs w:val="22"/>
        </w:rPr>
      </w:pPr>
    </w:p>
    <w:p w14:paraId="154B5430" w14:textId="77777777" w:rsidR="00777337" w:rsidRDefault="00777337">
      <w:pPr>
        <w:ind w:left="1080"/>
        <w:rPr>
          <w:rFonts w:ascii="Arial" w:hAnsi="Arial" w:cs="Arial"/>
          <w:b/>
          <w:sz w:val="22"/>
          <w:szCs w:val="22"/>
        </w:rPr>
      </w:pPr>
      <w:r>
        <w:rPr>
          <w:rFonts w:ascii="Arial" w:hAnsi="Arial" w:cs="Arial"/>
          <w:b/>
          <w:sz w:val="22"/>
          <w:szCs w:val="22"/>
        </w:rPr>
        <w:t>Part B.2 – Residential Services</w:t>
      </w:r>
    </w:p>
    <w:p w14:paraId="05E96A7E" w14:textId="77777777" w:rsidR="00777337" w:rsidRDefault="00777337">
      <w:pPr>
        <w:ind w:left="1080"/>
        <w:rPr>
          <w:rFonts w:ascii="Arial" w:hAnsi="Arial" w:cs="Arial"/>
          <w:sz w:val="22"/>
          <w:szCs w:val="22"/>
        </w:rPr>
      </w:pPr>
      <w:r>
        <w:rPr>
          <w:rFonts w:ascii="Arial" w:hAnsi="Arial" w:cs="Arial"/>
          <w:sz w:val="22"/>
          <w:szCs w:val="22"/>
        </w:rPr>
        <w:t>Enter the cash collected for recipient reimbursements from Individuals Relatives and Insurers Including Medicare for the residential services service category.</w:t>
      </w:r>
    </w:p>
    <w:p w14:paraId="66A707F6" w14:textId="77777777" w:rsidR="00777337" w:rsidRDefault="00777337">
      <w:pPr>
        <w:ind w:left="1080"/>
        <w:rPr>
          <w:rFonts w:ascii="Arial" w:hAnsi="Arial" w:cs="Arial"/>
          <w:sz w:val="22"/>
          <w:szCs w:val="22"/>
        </w:rPr>
      </w:pPr>
    </w:p>
    <w:p w14:paraId="30E95E4E" w14:textId="77777777" w:rsidR="00777337" w:rsidRDefault="00777337">
      <w:pPr>
        <w:ind w:left="1080"/>
        <w:rPr>
          <w:rFonts w:ascii="Arial" w:hAnsi="Arial" w:cs="Arial"/>
          <w:b/>
          <w:sz w:val="22"/>
          <w:szCs w:val="22"/>
        </w:rPr>
      </w:pPr>
      <w:r>
        <w:rPr>
          <w:rFonts w:ascii="Arial" w:hAnsi="Arial" w:cs="Arial"/>
          <w:b/>
          <w:sz w:val="22"/>
          <w:szCs w:val="22"/>
        </w:rPr>
        <w:t>Part B.3 – Community Living Services</w:t>
      </w:r>
    </w:p>
    <w:p w14:paraId="03D3AC6F" w14:textId="77777777" w:rsidR="00777337" w:rsidRDefault="00777337">
      <w:pPr>
        <w:ind w:left="1080"/>
        <w:rPr>
          <w:rFonts w:ascii="Arial" w:hAnsi="Arial" w:cs="Arial"/>
          <w:sz w:val="22"/>
          <w:szCs w:val="22"/>
        </w:rPr>
      </w:pPr>
      <w:r>
        <w:rPr>
          <w:rFonts w:ascii="Arial" w:hAnsi="Arial" w:cs="Arial"/>
          <w:sz w:val="22"/>
          <w:szCs w:val="22"/>
        </w:rPr>
        <w:t>Enter the cash collected for recipient reimbursements from Individuals Relatives and Insurers Including Medicare for the community living services service category.</w:t>
      </w:r>
    </w:p>
    <w:p w14:paraId="6DA6F5A9" w14:textId="392B5293" w:rsidR="00700885" w:rsidRDefault="00700885">
      <w:pPr>
        <w:ind w:left="1080"/>
        <w:rPr>
          <w:rFonts w:ascii="Arial" w:hAnsi="Arial" w:cs="Arial"/>
          <w:b/>
          <w:sz w:val="22"/>
          <w:szCs w:val="22"/>
        </w:rPr>
      </w:pPr>
    </w:p>
    <w:p w14:paraId="68ED6AAC" w14:textId="312A5198" w:rsidR="00777337" w:rsidRDefault="00777337">
      <w:pPr>
        <w:ind w:left="1080"/>
        <w:rPr>
          <w:rFonts w:ascii="Arial" w:hAnsi="Arial" w:cs="Arial"/>
          <w:b/>
          <w:sz w:val="22"/>
          <w:szCs w:val="22"/>
        </w:rPr>
      </w:pPr>
      <w:r>
        <w:rPr>
          <w:rFonts w:ascii="Arial" w:hAnsi="Arial" w:cs="Arial"/>
          <w:b/>
          <w:sz w:val="22"/>
          <w:szCs w:val="22"/>
        </w:rPr>
        <w:t>Part B.4 – Outpatient Services</w:t>
      </w:r>
    </w:p>
    <w:p w14:paraId="77222A56" w14:textId="77777777" w:rsidR="00777337" w:rsidRDefault="00777337">
      <w:pPr>
        <w:ind w:left="1080"/>
        <w:rPr>
          <w:rFonts w:ascii="Arial" w:hAnsi="Arial" w:cs="Arial"/>
          <w:sz w:val="22"/>
          <w:szCs w:val="22"/>
        </w:rPr>
      </w:pPr>
      <w:r>
        <w:rPr>
          <w:rFonts w:ascii="Arial" w:hAnsi="Arial" w:cs="Arial"/>
          <w:sz w:val="22"/>
          <w:szCs w:val="22"/>
        </w:rPr>
        <w:t>Enter the cash collected for recipient reimbursements from Individuals Relatives, Insurers Including Medicare and MHP for the outpatient services service category.</w:t>
      </w:r>
    </w:p>
    <w:p w14:paraId="74BF2DFC" w14:textId="77777777" w:rsidR="00777337" w:rsidRDefault="00777337">
      <w:pPr>
        <w:ind w:left="1080"/>
        <w:rPr>
          <w:rFonts w:ascii="Arial" w:hAnsi="Arial" w:cs="Arial"/>
          <w:sz w:val="22"/>
          <w:szCs w:val="22"/>
        </w:rPr>
      </w:pPr>
    </w:p>
    <w:p w14:paraId="6554096A" w14:textId="77777777" w:rsidR="00777337" w:rsidRDefault="00777337">
      <w:pPr>
        <w:ind w:left="1080"/>
        <w:rPr>
          <w:rFonts w:ascii="Arial" w:hAnsi="Arial" w:cs="Arial"/>
          <w:b/>
          <w:sz w:val="22"/>
          <w:szCs w:val="22"/>
        </w:rPr>
      </w:pPr>
      <w:r>
        <w:rPr>
          <w:rFonts w:ascii="Arial" w:hAnsi="Arial" w:cs="Arial"/>
          <w:b/>
          <w:sz w:val="22"/>
          <w:szCs w:val="22"/>
        </w:rPr>
        <w:t>Part B.5 – Total</w:t>
      </w:r>
    </w:p>
    <w:p w14:paraId="63FA24DC" w14:textId="77777777" w:rsidR="00777337" w:rsidRDefault="00777337">
      <w:pPr>
        <w:ind w:left="1080"/>
        <w:rPr>
          <w:rFonts w:ascii="Arial" w:hAnsi="Arial" w:cs="Arial"/>
          <w:sz w:val="22"/>
          <w:szCs w:val="22"/>
        </w:rPr>
      </w:pPr>
      <w:r>
        <w:rPr>
          <w:rFonts w:ascii="Arial" w:hAnsi="Arial" w:cs="Arial"/>
          <w:sz w:val="22"/>
          <w:szCs w:val="22"/>
        </w:rPr>
        <w:lastRenderedPageBreak/>
        <w:t xml:space="preserve">This row represents the total cash collected for recipient reimbursements by source.  This row is formula driven.  The formula is the </w:t>
      </w:r>
      <w:r w:rsidRPr="00EE2587">
        <w:rPr>
          <w:rFonts w:ascii="Arial" w:hAnsi="Arial" w:cs="Arial"/>
          <w:i/>
          <w:iCs/>
          <w:sz w:val="22"/>
          <w:szCs w:val="22"/>
        </w:rPr>
        <w:t>sum of Inpatient Services, Residential Services, Community Living Services and Outpatient Services</w:t>
      </w:r>
      <w:r>
        <w:rPr>
          <w:rFonts w:ascii="Arial" w:hAnsi="Arial" w:cs="Arial"/>
          <w:sz w:val="22"/>
          <w:szCs w:val="22"/>
        </w:rPr>
        <w:t>.</w:t>
      </w:r>
    </w:p>
    <w:p w14:paraId="0E6507B5" w14:textId="77777777" w:rsidR="00F23D83" w:rsidRDefault="00F23D83">
      <w:pPr>
        <w:ind w:left="1080"/>
        <w:rPr>
          <w:rFonts w:ascii="Arial" w:hAnsi="Arial" w:cs="Arial"/>
          <w:sz w:val="22"/>
          <w:szCs w:val="22"/>
        </w:rPr>
      </w:pPr>
    </w:p>
    <w:p w14:paraId="54E560ED" w14:textId="759BC08D" w:rsidR="00F23D83" w:rsidRDefault="00207BBF">
      <w:pPr>
        <w:ind w:left="1080"/>
        <w:rPr>
          <w:rFonts w:ascii="Arial" w:hAnsi="Arial" w:cs="Arial"/>
          <w:sz w:val="22"/>
          <w:szCs w:val="22"/>
        </w:rPr>
      </w:pPr>
      <w:r>
        <w:rPr>
          <w:rFonts w:ascii="Arial" w:hAnsi="Arial" w:cs="Arial"/>
          <w:sz w:val="22"/>
          <w:szCs w:val="22"/>
          <w:u w:val="single"/>
        </w:rPr>
        <w:t>Note</w:t>
      </w:r>
      <w:r w:rsidR="00F23D83">
        <w:rPr>
          <w:rFonts w:ascii="Arial" w:hAnsi="Arial" w:cs="Arial"/>
          <w:sz w:val="22"/>
          <w:szCs w:val="22"/>
        </w:rPr>
        <w:t xml:space="preserve">:  The amount </w:t>
      </w:r>
      <w:r w:rsidR="00BC3F91">
        <w:rPr>
          <w:rFonts w:ascii="Arial" w:hAnsi="Arial" w:cs="Arial"/>
          <w:sz w:val="22"/>
          <w:szCs w:val="22"/>
        </w:rPr>
        <w:t xml:space="preserve">calculated </w:t>
      </w:r>
      <w:r w:rsidR="00F23D83">
        <w:rPr>
          <w:rFonts w:ascii="Arial" w:hAnsi="Arial" w:cs="Arial"/>
          <w:sz w:val="22"/>
          <w:szCs w:val="22"/>
        </w:rPr>
        <w:t xml:space="preserve">in Part B.5 – Total (YTD By Service Category and Source) should reconcile to the amount </w:t>
      </w:r>
      <w:r w:rsidR="00BC3F91">
        <w:rPr>
          <w:rFonts w:ascii="Arial" w:hAnsi="Arial" w:cs="Arial"/>
          <w:sz w:val="22"/>
          <w:szCs w:val="22"/>
        </w:rPr>
        <w:t xml:space="preserve">calculated </w:t>
      </w:r>
      <w:r w:rsidR="00F23D83">
        <w:rPr>
          <w:rFonts w:ascii="Arial" w:hAnsi="Arial" w:cs="Arial"/>
          <w:sz w:val="22"/>
          <w:szCs w:val="22"/>
        </w:rPr>
        <w:t xml:space="preserve">in Part C.5 – Total (Quarterly Summary).  </w:t>
      </w:r>
    </w:p>
    <w:p w14:paraId="7EC44A72" w14:textId="77777777" w:rsidR="00777337" w:rsidRDefault="00777337">
      <w:pPr>
        <w:ind w:left="1080"/>
        <w:rPr>
          <w:rFonts w:ascii="Arial" w:hAnsi="Arial" w:cs="Arial"/>
          <w:sz w:val="22"/>
          <w:szCs w:val="22"/>
        </w:rPr>
      </w:pPr>
    </w:p>
    <w:p w14:paraId="4B68FC43" w14:textId="77777777" w:rsidR="00777337" w:rsidRDefault="00777337">
      <w:pPr>
        <w:keepNext/>
        <w:spacing w:after="120"/>
        <w:ind w:left="1080" w:hanging="720"/>
        <w:rPr>
          <w:rFonts w:ascii="Arial" w:hAnsi="Arial" w:cs="Arial"/>
          <w:b/>
        </w:rPr>
      </w:pPr>
      <w:r>
        <w:rPr>
          <w:rFonts w:ascii="Arial" w:hAnsi="Arial" w:cs="Arial"/>
          <w:b/>
        </w:rPr>
        <w:t>5.3</w:t>
      </w:r>
      <w:r>
        <w:rPr>
          <w:rFonts w:ascii="Arial" w:hAnsi="Arial" w:cs="Arial"/>
          <w:b/>
        </w:rPr>
        <w:tab/>
        <w:t>Part C – Mental Health Code (MHC) 330.1226a Cash Collections</w:t>
      </w:r>
    </w:p>
    <w:p w14:paraId="15A27221" w14:textId="77777777" w:rsidR="00777337" w:rsidRDefault="00777337">
      <w:pPr>
        <w:keepNext/>
        <w:spacing w:after="120"/>
        <w:ind w:left="1080"/>
        <w:rPr>
          <w:rFonts w:ascii="Arial" w:hAnsi="Arial" w:cs="Arial"/>
          <w:b/>
        </w:rPr>
      </w:pPr>
      <w:r>
        <w:rPr>
          <w:rFonts w:ascii="Arial" w:hAnsi="Arial" w:cs="Arial"/>
          <w:b/>
        </w:rPr>
        <w:t>Quarterly Summary</w:t>
      </w:r>
    </w:p>
    <w:p w14:paraId="14012306" w14:textId="77777777" w:rsidR="00777337" w:rsidRDefault="00777337">
      <w:pPr>
        <w:ind w:left="1080"/>
        <w:rPr>
          <w:rFonts w:ascii="Arial" w:hAnsi="Arial" w:cs="Arial"/>
          <w:sz w:val="22"/>
          <w:szCs w:val="22"/>
        </w:rPr>
      </w:pPr>
      <w:r>
        <w:rPr>
          <w:rFonts w:ascii="Arial" w:hAnsi="Arial" w:cs="Arial"/>
          <w:sz w:val="22"/>
          <w:szCs w:val="22"/>
        </w:rPr>
        <w:t xml:space="preserve">This section represents the cash collected for the recipient fees and reimbursements for each quarter.  </w:t>
      </w:r>
    </w:p>
    <w:p w14:paraId="0AA95827" w14:textId="77777777" w:rsidR="00777337" w:rsidRDefault="00777337">
      <w:pPr>
        <w:ind w:left="1080"/>
        <w:rPr>
          <w:rFonts w:ascii="Arial" w:hAnsi="Arial" w:cs="Arial"/>
          <w:sz w:val="22"/>
          <w:szCs w:val="22"/>
        </w:rPr>
      </w:pPr>
    </w:p>
    <w:p w14:paraId="1DA781C6" w14:textId="77777777" w:rsidR="00777337" w:rsidRDefault="00777337">
      <w:pPr>
        <w:ind w:left="1080"/>
        <w:rPr>
          <w:rFonts w:ascii="Arial" w:hAnsi="Arial" w:cs="Arial"/>
          <w:b/>
          <w:sz w:val="22"/>
          <w:szCs w:val="22"/>
        </w:rPr>
      </w:pPr>
      <w:r>
        <w:rPr>
          <w:rFonts w:ascii="Arial" w:hAnsi="Arial" w:cs="Arial"/>
          <w:b/>
          <w:sz w:val="22"/>
          <w:szCs w:val="22"/>
        </w:rPr>
        <w:t>Part C.1 – First Quarter</w:t>
      </w:r>
    </w:p>
    <w:p w14:paraId="3E2A45D9" w14:textId="77777777" w:rsidR="00777337" w:rsidRDefault="00777337">
      <w:pPr>
        <w:ind w:left="1080"/>
        <w:rPr>
          <w:rFonts w:ascii="Arial" w:hAnsi="Arial" w:cs="Arial"/>
          <w:sz w:val="22"/>
          <w:szCs w:val="22"/>
        </w:rPr>
      </w:pPr>
      <w:r>
        <w:rPr>
          <w:rFonts w:ascii="Arial" w:hAnsi="Arial" w:cs="Arial"/>
          <w:sz w:val="22"/>
          <w:szCs w:val="22"/>
        </w:rPr>
        <w:t>Enter the total cash collected for the recipient fees and reimbursements that qualify for participation in Section 226a of the Michigan MHC for the first quarter.</w:t>
      </w:r>
    </w:p>
    <w:p w14:paraId="76C66328" w14:textId="77777777" w:rsidR="00777337" w:rsidRDefault="00777337">
      <w:pPr>
        <w:tabs>
          <w:tab w:val="left" w:pos="1473"/>
        </w:tabs>
        <w:ind w:left="1080"/>
        <w:rPr>
          <w:rFonts w:ascii="Arial" w:hAnsi="Arial" w:cs="Arial"/>
          <w:sz w:val="22"/>
          <w:szCs w:val="22"/>
        </w:rPr>
      </w:pPr>
    </w:p>
    <w:p w14:paraId="33D6E0C1" w14:textId="77777777" w:rsidR="00777337" w:rsidRDefault="00777337">
      <w:pPr>
        <w:ind w:left="1080"/>
        <w:rPr>
          <w:rFonts w:ascii="Arial" w:hAnsi="Arial" w:cs="Arial"/>
          <w:b/>
          <w:sz w:val="22"/>
          <w:szCs w:val="22"/>
        </w:rPr>
      </w:pPr>
      <w:r>
        <w:rPr>
          <w:rFonts w:ascii="Arial" w:hAnsi="Arial" w:cs="Arial"/>
          <w:b/>
          <w:sz w:val="22"/>
          <w:szCs w:val="22"/>
        </w:rPr>
        <w:t>Part C.2 – Second Quarter</w:t>
      </w:r>
    </w:p>
    <w:p w14:paraId="55792341" w14:textId="77777777" w:rsidR="00777337" w:rsidRDefault="00777337">
      <w:pPr>
        <w:ind w:left="1080"/>
        <w:rPr>
          <w:rFonts w:ascii="Arial" w:hAnsi="Arial" w:cs="Arial"/>
          <w:sz w:val="22"/>
          <w:szCs w:val="22"/>
        </w:rPr>
      </w:pPr>
      <w:r>
        <w:rPr>
          <w:rFonts w:ascii="Arial" w:hAnsi="Arial" w:cs="Arial"/>
          <w:sz w:val="22"/>
          <w:szCs w:val="22"/>
        </w:rPr>
        <w:t xml:space="preserve">Enter the total cash collected for the recipient fees and reimbursements that qualify for participation in Section 226a of the Michigan MHC for the second quarter. </w:t>
      </w:r>
    </w:p>
    <w:p w14:paraId="68925210" w14:textId="77777777" w:rsidR="00CA0B74" w:rsidRDefault="00CA0B74" w:rsidP="00700885">
      <w:pPr>
        <w:rPr>
          <w:rFonts w:ascii="Arial" w:hAnsi="Arial" w:cs="Arial"/>
          <w:b/>
          <w:sz w:val="22"/>
          <w:szCs w:val="22"/>
        </w:rPr>
      </w:pPr>
    </w:p>
    <w:p w14:paraId="50632D9E" w14:textId="77777777" w:rsidR="00777337" w:rsidRDefault="00777337">
      <w:pPr>
        <w:ind w:left="1080"/>
        <w:rPr>
          <w:rFonts w:ascii="Arial" w:hAnsi="Arial" w:cs="Arial"/>
          <w:b/>
          <w:sz w:val="22"/>
          <w:szCs w:val="22"/>
        </w:rPr>
      </w:pPr>
      <w:r>
        <w:rPr>
          <w:rFonts w:ascii="Arial" w:hAnsi="Arial" w:cs="Arial"/>
          <w:b/>
          <w:sz w:val="22"/>
          <w:szCs w:val="22"/>
        </w:rPr>
        <w:t>Part C.3 – Third Quarter</w:t>
      </w:r>
    </w:p>
    <w:p w14:paraId="07D9DF44" w14:textId="77777777" w:rsidR="00777337" w:rsidRDefault="00777337">
      <w:pPr>
        <w:ind w:left="1080"/>
        <w:rPr>
          <w:rFonts w:ascii="Arial" w:hAnsi="Arial" w:cs="Arial"/>
          <w:sz w:val="22"/>
          <w:szCs w:val="22"/>
        </w:rPr>
      </w:pPr>
      <w:r>
        <w:rPr>
          <w:rFonts w:ascii="Arial" w:hAnsi="Arial" w:cs="Arial"/>
          <w:sz w:val="22"/>
          <w:szCs w:val="22"/>
        </w:rPr>
        <w:t>Enter the total cash collected for the recipient fees and reimbursements that qualify for participation in Section 226a of the Michigan MHC for the third quarter.</w:t>
      </w:r>
    </w:p>
    <w:p w14:paraId="4C56F783" w14:textId="77777777" w:rsidR="00660E2D" w:rsidRDefault="00660E2D">
      <w:pPr>
        <w:ind w:left="1080"/>
        <w:rPr>
          <w:rFonts w:ascii="Arial" w:hAnsi="Arial" w:cs="Arial"/>
          <w:sz w:val="22"/>
          <w:szCs w:val="22"/>
        </w:rPr>
      </w:pPr>
    </w:p>
    <w:p w14:paraId="3F624531" w14:textId="77777777" w:rsidR="00777337" w:rsidRDefault="00777337">
      <w:pPr>
        <w:ind w:left="1080"/>
        <w:rPr>
          <w:rFonts w:ascii="Arial" w:hAnsi="Arial" w:cs="Arial"/>
          <w:b/>
          <w:sz w:val="22"/>
          <w:szCs w:val="22"/>
        </w:rPr>
      </w:pPr>
      <w:r>
        <w:rPr>
          <w:rFonts w:ascii="Arial" w:hAnsi="Arial" w:cs="Arial"/>
          <w:b/>
          <w:sz w:val="22"/>
          <w:szCs w:val="22"/>
        </w:rPr>
        <w:t>Part C.4 – Fourth Quarter</w:t>
      </w:r>
    </w:p>
    <w:p w14:paraId="38053228" w14:textId="77777777" w:rsidR="00777337" w:rsidRDefault="00777337">
      <w:pPr>
        <w:ind w:left="1080"/>
        <w:rPr>
          <w:rFonts w:ascii="Arial" w:hAnsi="Arial" w:cs="Arial"/>
          <w:sz w:val="22"/>
          <w:szCs w:val="22"/>
        </w:rPr>
      </w:pPr>
      <w:r>
        <w:rPr>
          <w:rFonts w:ascii="Arial" w:hAnsi="Arial" w:cs="Arial"/>
          <w:sz w:val="22"/>
          <w:szCs w:val="22"/>
        </w:rPr>
        <w:t>Enter the total cash collected for the recipient fees and reimbursements that qualify for participation in Section 226a of the Michigan MHC for the fourth quarter.</w:t>
      </w:r>
    </w:p>
    <w:p w14:paraId="3A61FBB4" w14:textId="77777777" w:rsidR="00777337" w:rsidRDefault="00777337">
      <w:pPr>
        <w:ind w:left="1080"/>
        <w:rPr>
          <w:rFonts w:ascii="Arial" w:hAnsi="Arial" w:cs="Arial"/>
          <w:sz w:val="22"/>
          <w:szCs w:val="22"/>
        </w:rPr>
      </w:pPr>
    </w:p>
    <w:p w14:paraId="5C01F3B1" w14:textId="77777777" w:rsidR="00777337" w:rsidRDefault="00777337">
      <w:pPr>
        <w:ind w:left="1080"/>
        <w:rPr>
          <w:rFonts w:ascii="Arial" w:hAnsi="Arial" w:cs="Arial"/>
          <w:b/>
          <w:sz w:val="22"/>
          <w:szCs w:val="22"/>
        </w:rPr>
      </w:pPr>
      <w:r>
        <w:rPr>
          <w:rFonts w:ascii="Arial" w:hAnsi="Arial" w:cs="Arial"/>
          <w:b/>
          <w:sz w:val="22"/>
          <w:szCs w:val="22"/>
        </w:rPr>
        <w:t>Part C.5 – Total</w:t>
      </w:r>
    </w:p>
    <w:p w14:paraId="51EEBC32" w14:textId="77777777" w:rsidR="00777337" w:rsidRDefault="00777337">
      <w:pPr>
        <w:ind w:left="1080"/>
        <w:rPr>
          <w:rFonts w:ascii="Arial" w:hAnsi="Arial" w:cs="Arial"/>
          <w:sz w:val="22"/>
          <w:szCs w:val="22"/>
        </w:rPr>
      </w:pPr>
      <w:r>
        <w:rPr>
          <w:rFonts w:ascii="Arial" w:hAnsi="Arial" w:cs="Arial"/>
          <w:sz w:val="22"/>
          <w:szCs w:val="22"/>
        </w:rPr>
        <w:t xml:space="preserve">This row represents the total cash collected for the recipient fees and reimbursements that qualify for participation in Section 226a of the Michigan MHC for the state fiscal year.  This cell is formula driven.  The formula is the </w:t>
      </w:r>
      <w:r>
        <w:rPr>
          <w:rFonts w:ascii="Arial" w:hAnsi="Arial" w:cs="Arial"/>
          <w:i/>
          <w:sz w:val="22"/>
          <w:szCs w:val="22"/>
        </w:rPr>
        <w:t>sum of the First Quarter, Second Quarter, Third Quarter and Fourth Quarter</w:t>
      </w:r>
      <w:r>
        <w:rPr>
          <w:rFonts w:ascii="Arial" w:hAnsi="Arial" w:cs="Arial"/>
          <w:sz w:val="22"/>
          <w:szCs w:val="22"/>
        </w:rPr>
        <w:t>.</w:t>
      </w:r>
    </w:p>
    <w:p w14:paraId="4EB69D69" w14:textId="77777777" w:rsidR="00F23D83" w:rsidRDefault="00F23D83">
      <w:pPr>
        <w:ind w:left="1080"/>
        <w:rPr>
          <w:rFonts w:ascii="Arial" w:hAnsi="Arial" w:cs="Arial"/>
          <w:sz w:val="22"/>
          <w:szCs w:val="22"/>
        </w:rPr>
      </w:pPr>
    </w:p>
    <w:p w14:paraId="4C59E318" w14:textId="4A168A52" w:rsidR="00207BBF" w:rsidRDefault="00207BBF">
      <w:pPr>
        <w:ind w:left="1080"/>
        <w:rPr>
          <w:rFonts w:ascii="Arial" w:hAnsi="Arial" w:cs="Arial"/>
          <w:sz w:val="22"/>
          <w:szCs w:val="22"/>
        </w:rPr>
      </w:pPr>
      <w:r w:rsidRPr="00207BBF">
        <w:rPr>
          <w:rFonts w:ascii="Arial" w:hAnsi="Arial" w:cs="Arial"/>
          <w:sz w:val="22"/>
          <w:szCs w:val="22"/>
          <w:u w:val="single"/>
        </w:rPr>
        <w:t>Note</w:t>
      </w:r>
      <w:r w:rsidR="00F23D83">
        <w:rPr>
          <w:rFonts w:ascii="Arial" w:hAnsi="Arial" w:cs="Arial"/>
          <w:sz w:val="22"/>
          <w:szCs w:val="22"/>
        </w:rPr>
        <w:t xml:space="preserve">:  The amount </w:t>
      </w:r>
      <w:r w:rsidR="00BC3F91">
        <w:rPr>
          <w:rFonts w:ascii="Arial" w:hAnsi="Arial" w:cs="Arial"/>
          <w:sz w:val="22"/>
          <w:szCs w:val="22"/>
        </w:rPr>
        <w:t xml:space="preserve">calculated </w:t>
      </w:r>
      <w:r w:rsidR="00F23D83">
        <w:rPr>
          <w:rFonts w:ascii="Arial" w:hAnsi="Arial" w:cs="Arial"/>
          <w:sz w:val="22"/>
          <w:szCs w:val="22"/>
        </w:rPr>
        <w:t xml:space="preserve">in Part B.5 – Total (YTD By Service Category and Source) should reconcile to the amount </w:t>
      </w:r>
      <w:r w:rsidR="00BC3F91">
        <w:rPr>
          <w:rFonts w:ascii="Arial" w:hAnsi="Arial" w:cs="Arial"/>
          <w:sz w:val="22"/>
          <w:szCs w:val="22"/>
        </w:rPr>
        <w:t xml:space="preserve">calculated </w:t>
      </w:r>
      <w:r w:rsidR="00F23D83">
        <w:rPr>
          <w:rFonts w:ascii="Arial" w:hAnsi="Arial" w:cs="Arial"/>
          <w:sz w:val="22"/>
          <w:szCs w:val="22"/>
        </w:rPr>
        <w:t xml:space="preserve">in Part C.5 – Total (Quarterly Summary). </w:t>
      </w:r>
    </w:p>
    <w:p w14:paraId="2676A5C7" w14:textId="77777777" w:rsidR="00777337" w:rsidRDefault="00777337">
      <w:pPr>
        <w:spacing w:after="120"/>
        <w:ind w:left="1080" w:hanging="720"/>
        <w:rPr>
          <w:rFonts w:ascii="Arial" w:hAnsi="Arial" w:cs="Arial"/>
          <w:b/>
        </w:rPr>
      </w:pPr>
      <w:r>
        <w:rPr>
          <w:rFonts w:ascii="Arial" w:hAnsi="Arial" w:cs="Arial"/>
          <w:b/>
        </w:rPr>
        <w:t>5.4</w:t>
      </w:r>
      <w:r>
        <w:rPr>
          <w:rFonts w:ascii="Arial" w:hAnsi="Arial" w:cs="Arial"/>
          <w:b/>
        </w:rPr>
        <w:tab/>
        <w:t>Certification</w:t>
      </w:r>
    </w:p>
    <w:p w14:paraId="30C2920B" w14:textId="77777777" w:rsidR="00777337" w:rsidRDefault="003D0A55">
      <w:pPr>
        <w:ind w:left="1080"/>
        <w:rPr>
          <w:rFonts w:ascii="Arial" w:hAnsi="Arial" w:cs="Arial"/>
          <w:sz w:val="22"/>
          <w:szCs w:val="22"/>
        </w:rPr>
      </w:pPr>
      <w:r>
        <w:rPr>
          <w:rFonts w:ascii="Arial" w:hAnsi="Arial" w:cs="Arial"/>
          <w:sz w:val="22"/>
          <w:szCs w:val="22"/>
        </w:rPr>
        <w:t>T</w:t>
      </w:r>
      <w:r w:rsidR="00530662">
        <w:rPr>
          <w:rFonts w:ascii="Arial" w:hAnsi="Arial" w:cs="Arial"/>
          <w:sz w:val="22"/>
          <w:szCs w:val="22"/>
        </w:rPr>
        <w:t>he certification of the Section 226a - Special Fund Account should be completed utilizing the Report Certification form.  Please refer to the Report Certification &amp; Electronic Report Submission Guidelines.</w:t>
      </w:r>
    </w:p>
    <w:sectPr w:rsidR="00777337">
      <w:headerReference w:type="default" r:id="rId10"/>
      <w:pgSz w:w="12240" w:h="15840"/>
      <w:pgMar w:top="3427"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9B755" w14:textId="77777777" w:rsidR="00DD7260" w:rsidRDefault="00DD7260">
      <w:r>
        <w:separator/>
      </w:r>
    </w:p>
  </w:endnote>
  <w:endnote w:type="continuationSeparator" w:id="0">
    <w:p w14:paraId="06549695" w14:textId="77777777" w:rsidR="00DD7260" w:rsidRDefault="00DD7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Arial"/>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69862A" w14:textId="77777777" w:rsidR="00DD7260" w:rsidRDefault="00DD7260">
      <w:r>
        <w:separator/>
      </w:r>
    </w:p>
  </w:footnote>
  <w:footnote w:type="continuationSeparator" w:id="0">
    <w:p w14:paraId="07A47F42" w14:textId="77777777" w:rsidR="00DD7260" w:rsidRDefault="00DD7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340" w:type="dxa"/>
      <w:tblInd w:w="-995"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
      <w:gridCol w:w="1503"/>
      <w:gridCol w:w="6597"/>
      <w:gridCol w:w="2952"/>
    </w:tblGrid>
    <w:tr w:rsidR="002D2628" w14:paraId="58941D1D" w14:textId="77777777" w:rsidTr="00700885">
      <w:trPr>
        <w:cantSplit/>
        <w:trHeight w:val="170"/>
        <w:tblHeader/>
      </w:trPr>
      <w:tc>
        <w:tcPr>
          <w:tcW w:w="1791" w:type="dxa"/>
          <w:gridSpan w:val="2"/>
          <w:vMerge w:val="restart"/>
        </w:tcPr>
        <w:p w14:paraId="2B427372" w14:textId="2B64244F" w:rsidR="002D2628" w:rsidRDefault="008E54F3">
          <w:pPr>
            <w:pStyle w:val="Header"/>
            <w:tabs>
              <w:tab w:val="clear" w:pos="4320"/>
              <w:tab w:val="clear" w:pos="8640"/>
            </w:tabs>
            <w:rPr>
              <w:rFonts w:cs="Arial"/>
            </w:rPr>
          </w:pPr>
          <w:r w:rsidRPr="00BB5706">
            <w:rPr>
              <w:noProof/>
              <w:sz w:val="20"/>
            </w:rPr>
            <w:drawing>
              <wp:inline distT="0" distB="0" distL="0" distR="0" wp14:anchorId="29B828E8" wp14:editId="0327DD5E">
                <wp:extent cx="1000125" cy="9525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11208" t="-108" r="-11208" b="-108"/>
                        <a:stretch>
                          <a:fillRect/>
                        </a:stretch>
                      </pic:blipFill>
                      <pic:spPr bwMode="auto">
                        <a:xfrm>
                          <a:off x="0" y="0"/>
                          <a:ext cx="1000125" cy="952500"/>
                        </a:xfrm>
                        <a:prstGeom prst="rect">
                          <a:avLst/>
                        </a:prstGeom>
                        <a:noFill/>
                        <a:ln>
                          <a:noFill/>
                        </a:ln>
                      </pic:spPr>
                    </pic:pic>
                  </a:graphicData>
                </a:graphic>
              </wp:inline>
            </w:drawing>
          </w:r>
        </w:p>
      </w:tc>
      <w:tc>
        <w:tcPr>
          <w:tcW w:w="6597" w:type="dxa"/>
          <w:vMerge w:val="restart"/>
          <w:vAlign w:val="center"/>
        </w:tcPr>
        <w:p w14:paraId="2F53A8B1" w14:textId="77777777" w:rsidR="002D2628" w:rsidRDefault="002D2628">
          <w:pPr>
            <w:jc w:val="center"/>
            <w:rPr>
              <w:rFonts w:ascii="Arial" w:hAnsi="Arial" w:cs="Arial"/>
              <w:b/>
              <w:bCs/>
              <w:smallCaps/>
            </w:rPr>
          </w:pPr>
          <w:r>
            <w:rPr>
              <w:rFonts w:ascii="Arial" w:hAnsi="Arial" w:cs="Arial"/>
              <w:b/>
              <w:bCs/>
              <w:smallCaps/>
            </w:rPr>
            <w:t xml:space="preserve">State of </w:t>
          </w:r>
          <w:smartTag w:uri="urn:schemas-microsoft-com:office:smarttags" w:element="place">
            <w:smartTag w:uri="urn:schemas-microsoft-com:office:smarttags" w:element="State">
              <w:r>
                <w:rPr>
                  <w:rFonts w:ascii="Arial" w:hAnsi="Arial" w:cs="Arial"/>
                  <w:b/>
                  <w:bCs/>
                  <w:smallCaps/>
                </w:rPr>
                <w:t>Michigan</w:t>
              </w:r>
            </w:smartTag>
          </w:smartTag>
        </w:p>
        <w:p w14:paraId="377B64B2" w14:textId="77777777" w:rsidR="002D2628" w:rsidRDefault="002D2628">
          <w:pPr>
            <w:jc w:val="center"/>
            <w:rPr>
              <w:rFonts w:ascii="Arial" w:hAnsi="Arial" w:cs="Arial"/>
            </w:rPr>
          </w:pPr>
          <w:r>
            <w:rPr>
              <w:rFonts w:ascii="Arial" w:hAnsi="Arial" w:cs="Arial"/>
              <w:b/>
              <w:bCs/>
              <w:smallCaps/>
            </w:rPr>
            <w:t>Department of Health and Human Services</w:t>
          </w:r>
        </w:p>
        <w:p w14:paraId="13D2C4B4" w14:textId="77777777" w:rsidR="002D2628" w:rsidRDefault="002D2628">
          <w:pPr>
            <w:jc w:val="center"/>
            <w:rPr>
              <w:rFonts w:ascii="Arial" w:hAnsi="Arial" w:cs="Arial"/>
              <w:sz w:val="18"/>
            </w:rPr>
          </w:pPr>
        </w:p>
        <w:p w14:paraId="17D0DE2C" w14:textId="77777777" w:rsidR="002D2628" w:rsidRDefault="002D2628">
          <w:pPr>
            <w:jc w:val="center"/>
            <w:rPr>
              <w:rFonts w:ascii="Arial" w:hAnsi="Arial" w:cs="Arial"/>
              <w:b/>
              <w:i/>
              <w:smallCaps/>
            </w:rPr>
          </w:pPr>
          <w:r>
            <w:rPr>
              <w:rFonts w:ascii="Arial" w:hAnsi="Arial" w:cs="Arial"/>
              <w:b/>
              <w:i/>
              <w:smallCaps/>
            </w:rPr>
            <w:t>MDHHS /CMHSP Managed Mental Health Supports and Services Contract</w:t>
          </w:r>
        </w:p>
      </w:tc>
      <w:tc>
        <w:tcPr>
          <w:tcW w:w="2952" w:type="dxa"/>
          <w:tcBorders>
            <w:bottom w:val="nil"/>
          </w:tcBorders>
          <w:shd w:val="clear" w:color="auto" w:fill="99CCFF"/>
        </w:tcPr>
        <w:p w14:paraId="42E7FAFA" w14:textId="77777777" w:rsidR="002D2628" w:rsidRDefault="002D2628">
          <w:pPr>
            <w:rPr>
              <w:rFonts w:ascii="Arial" w:hAnsi="Arial" w:cs="Arial"/>
              <w:b/>
              <w:bCs/>
              <w:smallCaps/>
              <w:sz w:val="18"/>
            </w:rPr>
          </w:pPr>
          <w:r>
            <w:rPr>
              <w:rFonts w:ascii="Arial" w:hAnsi="Arial" w:cs="Arial"/>
              <w:b/>
              <w:bCs/>
              <w:smallCaps/>
              <w:sz w:val="18"/>
            </w:rPr>
            <w:t xml:space="preserve">Attachment </w:t>
          </w:r>
        </w:p>
      </w:tc>
    </w:tr>
    <w:tr w:rsidR="002D2628" w14:paraId="2258585E" w14:textId="77777777" w:rsidTr="00700885">
      <w:trPr>
        <w:cantSplit/>
        <w:trHeight w:val="323"/>
        <w:tblHeader/>
      </w:trPr>
      <w:tc>
        <w:tcPr>
          <w:tcW w:w="1791" w:type="dxa"/>
          <w:gridSpan w:val="2"/>
          <w:vMerge/>
        </w:tcPr>
        <w:p w14:paraId="452DC8A3" w14:textId="77777777" w:rsidR="002D2628" w:rsidRDefault="002D2628">
          <w:pPr>
            <w:rPr>
              <w:rFonts w:ascii="Arial" w:hAnsi="Arial" w:cs="Arial"/>
            </w:rPr>
          </w:pPr>
        </w:p>
      </w:tc>
      <w:tc>
        <w:tcPr>
          <w:tcW w:w="6597" w:type="dxa"/>
          <w:vMerge/>
        </w:tcPr>
        <w:p w14:paraId="0876ECA9" w14:textId="77777777" w:rsidR="002D2628" w:rsidRDefault="002D2628">
          <w:pPr>
            <w:jc w:val="center"/>
            <w:rPr>
              <w:rFonts w:ascii="Arial" w:hAnsi="Arial" w:cs="Arial"/>
            </w:rPr>
          </w:pPr>
        </w:p>
      </w:tc>
      <w:tc>
        <w:tcPr>
          <w:tcW w:w="2952" w:type="dxa"/>
          <w:tcBorders>
            <w:top w:val="nil"/>
            <w:bottom w:val="single" w:sz="4" w:space="0" w:color="auto"/>
          </w:tcBorders>
          <w:vAlign w:val="center"/>
        </w:tcPr>
        <w:p w14:paraId="5561C1E5" w14:textId="77777777" w:rsidR="002D2628" w:rsidRDefault="002D2628" w:rsidP="00660E2D">
          <w:pPr>
            <w:rPr>
              <w:rFonts w:ascii="Arial" w:hAnsi="Arial" w:cs="Arial"/>
            </w:rPr>
          </w:pPr>
          <w:r>
            <w:rPr>
              <w:rFonts w:ascii="Arial" w:hAnsi="Arial" w:cs="Arial"/>
            </w:rPr>
            <w:t>C.6.5.1.1</w:t>
          </w:r>
        </w:p>
      </w:tc>
    </w:tr>
    <w:tr w:rsidR="002D2628" w14:paraId="1959BBAC" w14:textId="77777777" w:rsidTr="00700885">
      <w:trPr>
        <w:cantSplit/>
        <w:trHeight w:val="152"/>
        <w:tblHeader/>
      </w:trPr>
      <w:tc>
        <w:tcPr>
          <w:tcW w:w="1791" w:type="dxa"/>
          <w:gridSpan w:val="2"/>
          <w:vMerge/>
        </w:tcPr>
        <w:p w14:paraId="3242D063" w14:textId="77777777" w:rsidR="002D2628" w:rsidRDefault="002D2628">
          <w:pPr>
            <w:rPr>
              <w:rFonts w:ascii="Arial" w:hAnsi="Arial" w:cs="Arial"/>
            </w:rPr>
          </w:pPr>
        </w:p>
      </w:tc>
      <w:tc>
        <w:tcPr>
          <w:tcW w:w="6597" w:type="dxa"/>
          <w:vMerge/>
        </w:tcPr>
        <w:p w14:paraId="48412F52" w14:textId="77777777" w:rsidR="002D2628" w:rsidRDefault="002D2628">
          <w:pPr>
            <w:rPr>
              <w:rFonts w:ascii="Arial" w:hAnsi="Arial" w:cs="Arial"/>
            </w:rPr>
          </w:pPr>
        </w:p>
      </w:tc>
      <w:tc>
        <w:tcPr>
          <w:tcW w:w="2952" w:type="dxa"/>
          <w:tcBorders>
            <w:bottom w:val="nil"/>
          </w:tcBorders>
          <w:shd w:val="clear" w:color="auto" w:fill="99CCFF"/>
        </w:tcPr>
        <w:p w14:paraId="07C12FF7" w14:textId="77777777" w:rsidR="002D2628" w:rsidRDefault="002D2628">
          <w:pPr>
            <w:rPr>
              <w:rFonts w:ascii="Arial" w:hAnsi="Arial" w:cs="Arial"/>
              <w:smallCaps/>
              <w:sz w:val="18"/>
            </w:rPr>
          </w:pPr>
          <w:r>
            <w:rPr>
              <w:rFonts w:ascii="Arial" w:hAnsi="Arial" w:cs="Arial"/>
              <w:b/>
              <w:bCs/>
              <w:smallCaps/>
              <w:sz w:val="18"/>
            </w:rPr>
            <w:t>Section</w:t>
          </w:r>
        </w:p>
      </w:tc>
    </w:tr>
    <w:tr w:rsidR="002D2628" w14:paraId="463A8162" w14:textId="77777777" w:rsidTr="00700885">
      <w:trPr>
        <w:cantSplit/>
        <w:trHeight w:val="305"/>
        <w:tblHeader/>
      </w:trPr>
      <w:tc>
        <w:tcPr>
          <w:tcW w:w="1791" w:type="dxa"/>
          <w:gridSpan w:val="2"/>
          <w:vMerge/>
        </w:tcPr>
        <w:p w14:paraId="22817E04" w14:textId="77777777" w:rsidR="002D2628" w:rsidRDefault="002D2628">
          <w:pPr>
            <w:rPr>
              <w:rFonts w:ascii="Arial" w:hAnsi="Arial" w:cs="Arial"/>
            </w:rPr>
          </w:pPr>
        </w:p>
      </w:tc>
      <w:tc>
        <w:tcPr>
          <w:tcW w:w="6597" w:type="dxa"/>
          <w:vMerge/>
        </w:tcPr>
        <w:p w14:paraId="5CCC32B2" w14:textId="77777777" w:rsidR="002D2628" w:rsidRDefault="002D2628">
          <w:pPr>
            <w:rPr>
              <w:rFonts w:ascii="Arial" w:hAnsi="Arial" w:cs="Arial"/>
            </w:rPr>
          </w:pPr>
        </w:p>
      </w:tc>
      <w:tc>
        <w:tcPr>
          <w:tcW w:w="2952" w:type="dxa"/>
          <w:tcBorders>
            <w:top w:val="nil"/>
            <w:bottom w:val="single" w:sz="4" w:space="0" w:color="auto"/>
          </w:tcBorders>
          <w:vAlign w:val="center"/>
        </w:tcPr>
        <w:p w14:paraId="20C1CF4D" w14:textId="02226CDA" w:rsidR="002D2628" w:rsidRDefault="002D2628" w:rsidP="006658EC">
          <w:pPr>
            <w:rPr>
              <w:rFonts w:ascii="Arial" w:hAnsi="Arial" w:cs="Arial"/>
            </w:rPr>
          </w:pPr>
          <w:r>
            <w:rPr>
              <w:rFonts w:ascii="Arial" w:hAnsi="Arial" w:cs="Arial"/>
            </w:rPr>
            <w:t>Form v 20</w:t>
          </w:r>
          <w:r w:rsidR="00892ED5">
            <w:rPr>
              <w:rFonts w:ascii="Arial" w:hAnsi="Arial" w:cs="Arial"/>
            </w:rPr>
            <w:t>2</w:t>
          </w:r>
          <w:r w:rsidR="00FB1DB6">
            <w:rPr>
              <w:rFonts w:ascii="Arial" w:hAnsi="Arial" w:cs="Arial"/>
            </w:rPr>
            <w:t>5</w:t>
          </w:r>
          <w:r w:rsidR="00892ED5">
            <w:rPr>
              <w:rFonts w:ascii="Arial" w:hAnsi="Arial" w:cs="Arial"/>
            </w:rPr>
            <w:t>-1</w:t>
          </w:r>
        </w:p>
      </w:tc>
    </w:tr>
    <w:tr w:rsidR="002D2628" w14:paraId="632682FA" w14:textId="77777777" w:rsidTr="00700885">
      <w:trPr>
        <w:cantSplit/>
        <w:trHeight w:val="170"/>
        <w:tblHeader/>
      </w:trPr>
      <w:tc>
        <w:tcPr>
          <w:tcW w:w="1791" w:type="dxa"/>
          <w:gridSpan w:val="2"/>
          <w:vMerge/>
        </w:tcPr>
        <w:p w14:paraId="4D826039" w14:textId="77777777" w:rsidR="002D2628" w:rsidRDefault="002D2628">
          <w:pPr>
            <w:rPr>
              <w:rFonts w:ascii="Arial" w:hAnsi="Arial" w:cs="Arial"/>
            </w:rPr>
          </w:pPr>
        </w:p>
      </w:tc>
      <w:tc>
        <w:tcPr>
          <w:tcW w:w="6597" w:type="dxa"/>
          <w:vMerge/>
        </w:tcPr>
        <w:p w14:paraId="1DB23976" w14:textId="77777777" w:rsidR="002D2628" w:rsidRDefault="002D2628">
          <w:pPr>
            <w:rPr>
              <w:rFonts w:ascii="Arial" w:hAnsi="Arial" w:cs="Arial"/>
            </w:rPr>
          </w:pPr>
        </w:p>
      </w:tc>
      <w:tc>
        <w:tcPr>
          <w:tcW w:w="2952" w:type="dxa"/>
          <w:tcBorders>
            <w:bottom w:val="nil"/>
          </w:tcBorders>
          <w:shd w:val="clear" w:color="auto" w:fill="99CCFF"/>
        </w:tcPr>
        <w:p w14:paraId="595313AC" w14:textId="77777777" w:rsidR="002D2628" w:rsidRDefault="002D2628">
          <w:pPr>
            <w:rPr>
              <w:rFonts w:ascii="Arial" w:hAnsi="Arial" w:cs="Arial"/>
              <w:smallCaps/>
              <w:sz w:val="18"/>
            </w:rPr>
          </w:pPr>
          <w:r>
            <w:rPr>
              <w:rFonts w:ascii="Arial" w:hAnsi="Arial" w:cs="Arial"/>
              <w:b/>
              <w:bCs/>
              <w:smallCaps/>
              <w:sz w:val="18"/>
            </w:rPr>
            <w:t>Effective Date</w:t>
          </w:r>
        </w:p>
      </w:tc>
    </w:tr>
    <w:tr w:rsidR="002D2628" w14:paraId="6EAA630E" w14:textId="77777777" w:rsidTr="00700885">
      <w:trPr>
        <w:cantSplit/>
        <w:trHeight w:val="305"/>
        <w:tblHeader/>
      </w:trPr>
      <w:tc>
        <w:tcPr>
          <w:tcW w:w="1791" w:type="dxa"/>
          <w:gridSpan w:val="2"/>
          <w:vMerge/>
        </w:tcPr>
        <w:p w14:paraId="577B9453" w14:textId="77777777" w:rsidR="002D2628" w:rsidRDefault="002D2628">
          <w:pPr>
            <w:rPr>
              <w:rFonts w:ascii="Arial" w:hAnsi="Arial" w:cs="Arial"/>
            </w:rPr>
          </w:pPr>
        </w:p>
      </w:tc>
      <w:tc>
        <w:tcPr>
          <w:tcW w:w="6597" w:type="dxa"/>
          <w:vMerge/>
          <w:tcBorders>
            <w:bottom w:val="single" w:sz="4" w:space="0" w:color="auto"/>
          </w:tcBorders>
        </w:tcPr>
        <w:p w14:paraId="3AF61662" w14:textId="77777777" w:rsidR="002D2628" w:rsidRDefault="002D2628">
          <w:pPr>
            <w:rPr>
              <w:rFonts w:ascii="Arial" w:hAnsi="Arial" w:cs="Arial"/>
            </w:rPr>
          </w:pPr>
        </w:p>
      </w:tc>
      <w:tc>
        <w:tcPr>
          <w:tcW w:w="2952" w:type="dxa"/>
          <w:tcBorders>
            <w:top w:val="nil"/>
            <w:bottom w:val="single" w:sz="4" w:space="0" w:color="auto"/>
          </w:tcBorders>
          <w:vAlign w:val="center"/>
        </w:tcPr>
        <w:p w14:paraId="0DC58C77" w14:textId="01B317D0" w:rsidR="002D2628" w:rsidRDefault="002D2628" w:rsidP="00C41178">
          <w:pPr>
            <w:rPr>
              <w:rFonts w:ascii="Arial" w:hAnsi="Arial" w:cs="Arial"/>
            </w:rPr>
          </w:pPr>
          <w:r>
            <w:rPr>
              <w:rFonts w:ascii="Arial" w:hAnsi="Arial" w:cs="Arial"/>
            </w:rPr>
            <w:t>10/01/</w:t>
          </w:r>
          <w:r w:rsidR="00086682">
            <w:rPr>
              <w:rFonts w:ascii="Arial" w:hAnsi="Arial" w:cs="Arial"/>
            </w:rPr>
            <w:t>2</w:t>
          </w:r>
          <w:r w:rsidR="00FB1DB6">
            <w:rPr>
              <w:rFonts w:ascii="Arial" w:hAnsi="Arial" w:cs="Arial"/>
            </w:rPr>
            <w:t>4</w:t>
          </w:r>
        </w:p>
      </w:tc>
    </w:tr>
    <w:tr w:rsidR="002D2628" w14:paraId="5F42D759" w14:textId="77777777" w:rsidTr="00700885">
      <w:trPr>
        <w:cantSplit/>
        <w:trHeight w:val="152"/>
        <w:tblHeader/>
      </w:trPr>
      <w:tc>
        <w:tcPr>
          <w:tcW w:w="288" w:type="dxa"/>
          <w:tcBorders>
            <w:bottom w:val="nil"/>
          </w:tcBorders>
          <w:shd w:val="clear" w:color="auto" w:fill="99CCFF"/>
        </w:tcPr>
        <w:p w14:paraId="19A70846" w14:textId="77777777" w:rsidR="002D2628" w:rsidRDefault="002D2628">
          <w:pPr>
            <w:rPr>
              <w:rFonts w:ascii="Arial" w:hAnsi="Arial" w:cs="Arial"/>
              <w:smallCaps/>
              <w:sz w:val="18"/>
            </w:rPr>
          </w:pPr>
        </w:p>
      </w:tc>
      <w:tc>
        <w:tcPr>
          <w:tcW w:w="8100" w:type="dxa"/>
          <w:gridSpan w:val="2"/>
          <w:tcBorders>
            <w:bottom w:val="nil"/>
          </w:tcBorders>
          <w:shd w:val="clear" w:color="auto" w:fill="99CCFF"/>
        </w:tcPr>
        <w:p w14:paraId="37F52665" w14:textId="77777777" w:rsidR="002D2628" w:rsidRDefault="002D2628">
          <w:pPr>
            <w:jc w:val="center"/>
            <w:rPr>
              <w:rFonts w:ascii="Arial" w:hAnsi="Arial" w:cs="Arial"/>
              <w:b/>
              <w:bCs/>
              <w:smallCaps/>
              <w:sz w:val="18"/>
            </w:rPr>
          </w:pPr>
        </w:p>
      </w:tc>
      <w:tc>
        <w:tcPr>
          <w:tcW w:w="2952" w:type="dxa"/>
          <w:tcBorders>
            <w:bottom w:val="nil"/>
          </w:tcBorders>
          <w:shd w:val="clear" w:color="auto" w:fill="99CCFF"/>
          <w:vAlign w:val="center"/>
        </w:tcPr>
        <w:p w14:paraId="52CEB6AC" w14:textId="77777777" w:rsidR="002D2628" w:rsidRDefault="002D2628">
          <w:pPr>
            <w:rPr>
              <w:rFonts w:ascii="Arial" w:hAnsi="Arial" w:cs="Arial"/>
              <w:b/>
              <w:bCs/>
              <w:smallCaps/>
              <w:sz w:val="18"/>
            </w:rPr>
          </w:pPr>
          <w:r>
            <w:rPr>
              <w:rFonts w:ascii="Arial" w:hAnsi="Arial" w:cs="Arial"/>
              <w:b/>
              <w:bCs/>
              <w:smallCaps/>
              <w:sz w:val="18"/>
            </w:rPr>
            <w:t xml:space="preserve">Page   of </w:t>
          </w:r>
        </w:p>
      </w:tc>
    </w:tr>
    <w:tr w:rsidR="002D2628" w14:paraId="221E12B5" w14:textId="77777777" w:rsidTr="00700885">
      <w:trPr>
        <w:cantSplit/>
        <w:trHeight w:val="305"/>
        <w:tblHeader/>
      </w:trPr>
      <w:tc>
        <w:tcPr>
          <w:tcW w:w="288" w:type="dxa"/>
          <w:tcBorders>
            <w:top w:val="nil"/>
            <w:bottom w:val="double" w:sz="4" w:space="0" w:color="auto"/>
          </w:tcBorders>
          <w:vAlign w:val="center"/>
        </w:tcPr>
        <w:p w14:paraId="224C5CA2" w14:textId="77777777" w:rsidR="002D2628" w:rsidRDefault="002D2628">
          <w:pPr>
            <w:rPr>
              <w:rFonts w:ascii="Arial" w:hAnsi="Arial" w:cs="Arial"/>
            </w:rPr>
          </w:pPr>
        </w:p>
      </w:tc>
      <w:tc>
        <w:tcPr>
          <w:tcW w:w="8100" w:type="dxa"/>
          <w:gridSpan w:val="2"/>
          <w:tcBorders>
            <w:top w:val="nil"/>
            <w:bottom w:val="double" w:sz="4" w:space="0" w:color="auto"/>
          </w:tcBorders>
          <w:vAlign w:val="center"/>
        </w:tcPr>
        <w:p w14:paraId="668A6A85" w14:textId="405CA467" w:rsidR="002D2628" w:rsidRPr="006658EC" w:rsidRDefault="002D2628" w:rsidP="009E682E">
          <w:pPr>
            <w:rPr>
              <w:rFonts w:ascii="Arial" w:hAnsi="Arial" w:cs="Arial"/>
              <w:i/>
            </w:rPr>
          </w:pPr>
          <w:r>
            <w:rPr>
              <w:rFonts w:ascii="Arial" w:hAnsi="Arial" w:cs="Arial"/>
            </w:rPr>
            <w:t>Special Fund Account – Section 226a, PA423 of the MHC</w:t>
          </w:r>
        </w:p>
      </w:tc>
      <w:tc>
        <w:tcPr>
          <w:tcW w:w="2952" w:type="dxa"/>
          <w:tcBorders>
            <w:top w:val="nil"/>
            <w:bottom w:val="double" w:sz="4" w:space="0" w:color="auto"/>
          </w:tcBorders>
          <w:vAlign w:val="center"/>
        </w:tcPr>
        <w:p w14:paraId="67256EF1" w14:textId="77777777" w:rsidR="002D2628" w:rsidRDefault="002D2628">
          <w:pPr>
            <w:ind w:right="-108"/>
            <w:rPr>
              <w:rFonts w:ascii="Arial" w:hAnsi="Arial" w:cs="Arial"/>
            </w:rPr>
          </w:pPr>
          <w:r>
            <w:rPr>
              <w:rStyle w:val="PageNumber"/>
              <w:rFonts w:ascii="Arial" w:hAnsi="Arial" w:cs="Arial"/>
              <w:sz w:val="22"/>
            </w:rPr>
            <w:fldChar w:fldCharType="begin"/>
          </w:r>
          <w:r>
            <w:rPr>
              <w:rStyle w:val="PageNumber"/>
              <w:rFonts w:ascii="Arial" w:hAnsi="Arial" w:cs="Arial"/>
              <w:sz w:val="22"/>
            </w:rPr>
            <w:instrText xml:space="preserve"> PAGE </w:instrText>
          </w:r>
          <w:r>
            <w:rPr>
              <w:rStyle w:val="PageNumber"/>
              <w:rFonts w:ascii="Arial" w:hAnsi="Arial" w:cs="Arial"/>
              <w:sz w:val="22"/>
            </w:rPr>
            <w:fldChar w:fldCharType="separate"/>
          </w:r>
          <w:r w:rsidR="007A2259">
            <w:rPr>
              <w:rStyle w:val="PageNumber"/>
              <w:rFonts w:ascii="Arial" w:hAnsi="Arial" w:cs="Arial"/>
              <w:noProof/>
              <w:sz w:val="22"/>
            </w:rPr>
            <w:t>6</w:t>
          </w:r>
          <w:r>
            <w:rPr>
              <w:rStyle w:val="PageNumber"/>
              <w:rFonts w:ascii="Arial" w:hAnsi="Arial" w:cs="Arial"/>
              <w:sz w:val="22"/>
            </w:rPr>
            <w:fldChar w:fldCharType="end"/>
          </w:r>
          <w:r>
            <w:rPr>
              <w:rStyle w:val="PageNumber"/>
              <w:rFonts w:ascii="Arial" w:hAnsi="Arial" w:cs="Arial"/>
              <w:sz w:val="22"/>
            </w:rPr>
            <w:t xml:space="preserve"> of </w:t>
          </w:r>
          <w:r>
            <w:rPr>
              <w:rStyle w:val="PageNumber"/>
              <w:rFonts w:ascii="Arial" w:hAnsi="Arial" w:cs="Arial"/>
              <w:sz w:val="22"/>
            </w:rPr>
            <w:fldChar w:fldCharType="begin"/>
          </w:r>
          <w:r>
            <w:rPr>
              <w:rStyle w:val="PageNumber"/>
              <w:rFonts w:ascii="Arial" w:hAnsi="Arial" w:cs="Arial"/>
              <w:sz w:val="22"/>
            </w:rPr>
            <w:instrText xml:space="preserve"> NUMPAGES </w:instrText>
          </w:r>
          <w:r>
            <w:rPr>
              <w:rStyle w:val="PageNumber"/>
              <w:rFonts w:ascii="Arial" w:hAnsi="Arial" w:cs="Arial"/>
              <w:sz w:val="22"/>
            </w:rPr>
            <w:fldChar w:fldCharType="separate"/>
          </w:r>
          <w:r w:rsidR="007A2259">
            <w:rPr>
              <w:rStyle w:val="PageNumber"/>
              <w:rFonts w:ascii="Arial" w:hAnsi="Arial" w:cs="Arial"/>
              <w:noProof/>
              <w:sz w:val="22"/>
            </w:rPr>
            <w:t>6</w:t>
          </w:r>
          <w:r>
            <w:rPr>
              <w:rStyle w:val="PageNumber"/>
              <w:rFonts w:ascii="Arial" w:hAnsi="Arial" w:cs="Arial"/>
              <w:sz w:val="22"/>
            </w:rPr>
            <w:fldChar w:fldCharType="end"/>
          </w:r>
        </w:p>
      </w:tc>
    </w:tr>
  </w:tbl>
  <w:p w14:paraId="76C06698" w14:textId="77777777" w:rsidR="002D2628" w:rsidRDefault="002D2628">
    <w:pPr>
      <w:pStyle w:val="Header"/>
      <w:ind w:left="-720" w:right="-9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A4FEE"/>
    <w:multiLevelType w:val="multilevel"/>
    <w:tmpl w:val="6248CD10"/>
    <w:lvl w:ilvl="0">
      <w:start w:val="3"/>
      <w:numFmt w:val="decimal"/>
      <w:lvlText w:val="%1"/>
      <w:lvlJc w:val="left"/>
      <w:pPr>
        <w:tabs>
          <w:tab w:val="num" w:pos="720"/>
        </w:tabs>
        <w:ind w:left="720" w:hanging="720"/>
      </w:pPr>
      <w:rPr>
        <w:rFonts w:hint="default"/>
      </w:rPr>
    </w:lvl>
    <w:lvl w:ilvl="1">
      <w:start w:val="20"/>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06692319"/>
    <w:multiLevelType w:val="multilevel"/>
    <w:tmpl w:val="5DFE679A"/>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15:restartNumberingAfterBreak="0">
    <w:nsid w:val="07520931"/>
    <w:multiLevelType w:val="multilevel"/>
    <w:tmpl w:val="17B85316"/>
    <w:lvl w:ilvl="0">
      <w:start w:val="1"/>
      <w:numFmt w:val="decimal"/>
      <w:lvlText w:val="%1.0"/>
      <w:lvlJc w:val="left"/>
      <w:pPr>
        <w:tabs>
          <w:tab w:val="num" w:pos="2160"/>
        </w:tabs>
        <w:ind w:left="2160" w:hanging="1080"/>
      </w:pPr>
      <w:rPr>
        <w:rFonts w:hint="default"/>
        <w:sz w:val="28"/>
        <w:szCs w:val="28"/>
      </w:rPr>
    </w:lvl>
    <w:lvl w:ilvl="1">
      <w:start w:val="1"/>
      <w:numFmt w:val="decimal"/>
      <w:lvlText w:val="%1.%2"/>
      <w:lvlJc w:val="left"/>
      <w:pPr>
        <w:tabs>
          <w:tab w:val="num" w:pos="2520"/>
        </w:tabs>
        <w:ind w:left="2520" w:hanging="1080"/>
      </w:pPr>
      <w:rPr>
        <w:rFonts w:hint="default"/>
      </w:rPr>
    </w:lvl>
    <w:lvl w:ilvl="2">
      <w:start w:val="1"/>
      <w:numFmt w:val="decimal"/>
      <w:lvlText w:val="%1.%2.%3"/>
      <w:lvlJc w:val="left"/>
      <w:pPr>
        <w:tabs>
          <w:tab w:val="num" w:pos="3240"/>
        </w:tabs>
        <w:ind w:left="3240" w:hanging="1080"/>
      </w:pPr>
      <w:rPr>
        <w:rFonts w:hint="default"/>
      </w:rPr>
    </w:lvl>
    <w:lvl w:ilvl="3">
      <w:start w:val="1"/>
      <w:numFmt w:val="decimal"/>
      <w:lvlText w:val="%1.%2.%3.%4"/>
      <w:lvlJc w:val="left"/>
      <w:pPr>
        <w:tabs>
          <w:tab w:val="num" w:pos="3960"/>
        </w:tabs>
        <w:ind w:left="396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760"/>
        </w:tabs>
        <w:ind w:left="5760" w:hanging="144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560"/>
        </w:tabs>
        <w:ind w:left="7560" w:hanging="1800"/>
      </w:pPr>
      <w:rPr>
        <w:rFonts w:hint="default"/>
      </w:rPr>
    </w:lvl>
    <w:lvl w:ilvl="8">
      <w:start w:val="1"/>
      <w:numFmt w:val="decimal"/>
      <w:lvlText w:val="%1.%2.%3.%4.%5.%6.%7.%8.%9"/>
      <w:lvlJc w:val="left"/>
      <w:pPr>
        <w:tabs>
          <w:tab w:val="num" w:pos="8640"/>
        </w:tabs>
        <w:ind w:left="8640" w:hanging="2160"/>
      </w:pPr>
      <w:rPr>
        <w:rFonts w:hint="default"/>
      </w:rPr>
    </w:lvl>
  </w:abstractNum>
  <w:abstractNum w:abstractNumId="3" w15:restartNumberingAfterBreak="0">
    <w:nsid w:val="16E044A6"/>
    <w:multiLevelType w:val="multilevel"/>
    <w:tmpl w:val="CBE0F3D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15:restartNumberingAfterBreak="0">
    <w:nsid w:val="245044BB"/>
    <w:multiLevelType w:val="multilevel"/>
    <w:tmpl w:val="FDE283A8"/>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42335D26"/>
    <w:multiLevelType w:val="hybridMultilevel"/>
    <w:tmpl w:val="767607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46D4A1F"/>
    <w:multiLevelType w:val="hybridMultilevel"/>
    <w:tmpl w:val="B0505A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D5913D7"/>
    <w:multiLevelType w:val="multilevel"/>
    <w:tmpl w:val="9ECC7E4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4E4165CD"/>
    <w:multiLevelType w:val="multilevel"/>
    <w:tmpl w:val="816CB3F2"/>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5017419C"/>
    <w:multiLevelType w:val="multilevel"/>
    <w:tmpl w:val="01929D04"/>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15:restartNumberingAfterBreak="0">
    <w:nsid w:val="52C75ABD"/>
    <w:multiLevelType w:val="multilevel"/>
    <w:tmpl w:val="A3929A30"/>
    <w:lvl w:ilvl="0">
      <w:start w:val="5"/>
      <w:numFmt w:val="decimal"/>
      <w:lvlText w:val="%1.0"/>
      <w:lvlJc w:val="left"/>
      <w:pPr>
        <w:tabs>
          <w:tab w:val="num" w:pos="720"/>
        </w:tabs>
        <w:ind w:left="72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2160"/>
        </w:tabs>
        <w:ind w:left="2160" w:hanging="1080"/>
      </w:pPr>
      <w:rPr>
        <w:rFonts w:hint="default"/>
      </w:rPr>
    </w:lvl>
    <w:lvl w:ilvl="3">
      <w:start w:val="1"/>
      <w:numFmt w:val="decimal"/>
      <w:lvlText w:val="%1.%2.%3.%4"/>
      <w:lvlJc w:val="left"/>
      <w:pPr>
        <w:tabs>
          <w:tab w:val="num" w:pos="2880"/>
        </w:tabs>
        <w:ind w:left="288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680"/>
        </w:tabs>
        <w:ind w:left="4680" w:hanging="144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480"/>
        </w:tabs>
        <w:ind w:left="6480" w:hanging="1800"/>
      </w:pPr>
      <w:rPr>
        <w:rFonts w:hint="default"/>
      </w:rPr>
    </w:lvl>
    <w:lvl w:ilvl="8">
      <w:start w:val="1"/>
      <w:numFmt w:val="decimal"/>
      <w:lvlText w:val="%1.%2.%3.%4.%5.%6.%7.%8.%9"/>
      <w:lvlJc w:val="left"/>
      <w:pPr>
        <w:tabs>
          <w:tab w:val="num" w:pos="7560"/>
        </w:tabs>
        <w:ind w:left="7560" w:hanging="2160"/>
      </w:pPr>
      <w:rPr>
        <w:rFonts w:hint="default"/>
      </w:rPr>
    </w:lvl>
  </w:abstractNum>
  <w:abstractNum w:abstractNumId="11" w15:restartNumberingAfterBreak="0">
    <w:nsid w:val="6841499A"/>
    <w:multiLevelType w:val="multilevel"/>
    <w:tmpl w:val="DCB6E93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74C62FB0"/>
    <w:multiLevelType w:val="hybridMultilevel"/>
    <w:tmpl w:val="7CA8B5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14365482">
    <w:abstractNumId w:val="12"/>
  </w:num>
  <w:num w:numId="2" w16cid:durableId="1195118775">
    <w:abstractNumId w:val="2"/>
  </w:num>
  <w:num w:numId="3" w16cid:durableId="1069811301">
    <w:abstractNumId w:val="4"/>
  </w:num>
  <w:num w:numId="4" w16cid:durableId="782917860">
    <w:abstractNumId w:val="10"/>
  </w:num>
  <w:num w:numId="5" w16cid:durableId="1157964584">
    <w:abstractNumId w:val="0"/>
  </w:num>
  <w:num w:numId="6" w16cid:durableId="1690831651">
    <w:abstractNumId w:val="7"/>
  </w:num>
  <w:num w:numId="7" w16cid:durableId="1468934313">
    <w:abstractNumId w:val="3"/>
  </w:num>
  <w:num w:numId="8" w16cid:durableId="705133321">
    <w:abstractNumId w:val="8"/>
  </w:num>
  <w:num w:numId="9" w16cid:durableId="1980838130">
    <w:abstractNumId w:val="9"/>
  </w:num>
  <w:num w:numId="10" w16cid:durableId="1149175279">
    <w:abstractNumId w:val="1"/>
  </w:num>
  <w:num w:numId="11" w16cid:durableId="994995566">
    <w:abstractNumId w:val="11"/>
  </w:num>
  <w:num w:numId="12" w16cid:durableId="860317635">
    <w:abstractNumId w:val="5"/>
  </w:num>
  <w:num w:numId="13" w16cid:durableId="2177426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DBE"/>
    <w:rsid w:val="000318BF"/>
    <w:rsid w:val="000454AB"/>
    <w:rsid w:val="0006559A"/>
    <w:rsid w:val="00070A24"/>
    <w:rsid w:val="0007356D"/>
    <w:rsid w:val="00086682"/>
    <w:rsid w:val="000A3C45"/>
    <w:rsid w:val="000A65AC"/>
    <w:rsid w:val="000B302E"/>
    <w:rsid w:val="000C1EFA"/>
    <w:rsid w:val="000C3F70"/>
    <w:rsid w:val="000E5CE0"/>
    <w:rsid w:val="00112A58"/>
    <w:rsid w:val="00171001"/>
    <w:rsid w:val="001C53DA"/>
    <w:rsid w:val="001F1CF4"/>
    <w:rsid w:val="001F3103"/>
    <w:rsid w:val="00207BBF"/>
    <w:rsid w:val="0021442B"/>
    <w:rsid w:val="002534C8"/>
    <w:rsid w:val="00282A25"/>
    <w:rsid w:val="00283D06"/>
    <w:rsid w:val="002C76CB"/>
    <w:rsid w:val="002D0FD0"/>
    <w:rsid w:val="002D2628"/>
    <w:rsid w:val="002D2D24"/>
    <w:rsid w:val="002F4DB9"/>
    <w:rsid w:val="002F5440"/>
    <w:rsid w:val="0030357E"/>
    <w:rsid w:val="003047FB"/>
    <w:rsid w:val="003107F1"/>
    <w:rsid w:val="00321955"/>
    <w:rsid w:val="00380F56"/>
    <w:rsid w:val="003B6A2F"/>
    <w:rsid w:val="003D0A55"/>
    <w:rsid w:val="003D5DF7"/>
    <w:rsid w:val="00403635"/>
    <w:rsid w:val="0041790B"/>
    <w:rsid w:val="0042579B"/>
    <w:rsid w:val="00487D33"/>
    <w:rsid w:val="00493135"/>
    <w:rsid w:val="0049332D"/>
    <w:rsid w:val="004967A4"/>
    <w:rsid w:val="0049712B"/>
    <w:rsid w:val="004B2120"/>
    <w:rsid w:val="004D3AAA"/>
    <w:rsid w:val="004F6FCE"/>
    <w:rsid w:val="004F7DC5"/>
    <w:rsid w:val="00516F8D"/>
    <w:rsid w:val="00517BEE"/>
    <w:rsid w:val="00530662"/>
    <w:rsid w:val="00531398"/>
    <w:rsid w:val="00555097"/>
    <w:rsid w:val="00581027"/>
    <w:rsid w:val="005D573B"/>
    <w:rsid w:val="005E08EE"/>
    <w:rsid w:val="005F2D5F"/>
    <w:rsid w:val="006104B9"/>
    <w:rsid w:val="00612622"/>
    <w:rsid w:val="0063580F"/>
    <w:rsid w:val="00643B7E"/>
    <w:rsid w:val="00653D68"/>
    <w:rsid w:val="00660E2D"/>
    <w:rsid w:val="00663657"/>
    <w:rsid w:val="006658EC"/>
    <w:rsid w:val="00697669"/>
    <w:rsid w:val="006B134A"/>
    <w:rsid w:val="006D02F5"/>
    <w:rsid w:val="006F0528"/>
    <w:rsid w:val="00700885"/>
    <w:rsid w:val="007171EA"/>
    <w:rsid w:val="00721774"/>
    <w:rsid w:val="00772854"/>
    <w:rsid w:val="00777337"/>
    <w:rsid w:val="007A2259"/>
    <w:rsid w:val="007B0C71"/>
    <w:rsid w:val="007B1883"/>
    <w:rsid w:val="007C5FED"/>
    <w:rsid w:val="007D02DA"/>
    <w:rsid w:val="007E6514"/>
    <w:rsid w:val="00813B89"/>
    <w:rsid w:val="00857C66"/>
    <w:rsid w:val="008717C0"/>
    <w:rsid w:val="00892ED5"/>
    <w:rsid w:val="008A20EF"/>
    <w:rsid w:val="008E54F3"/>
    <w:rsid w:val="008E62D0"/>
    <w:rsid w:val="009162EC"/>
    <w:rsid w:val="0093338E"/>
    <w:rsid w:val="00961B8A"/>
    <w:rsid w:val="009652B2"/>
    <w:rsid w:val="009837D4"/>
    <w:rsid w:val="00986EB6"/>
    <w:rsid w:val="00991FE1"/>
    <w:rsid w:val="00992EE5"/>
    <w:rsid w:val="009A46C0"/>
    <w:rsid w:val="009B3643"/>
    <w:rsid w:val="009E682E"/>
    <w:rsid w:val="009E6EF3"/>
    <w:rsid w:val="00A212E5"/>
    <w:rsid w:val="00A26961"/>
    <w:rsid w:val="00A41124"/>
    <w:rsid w:val="00A43599"/>
    <w:rsid w:val="00A55DD1"/>
    <w:rsid w:val="00A601AB"/>
    <w:rsid w:val="00A629AB"/>
    <w:rsid w:val="00AB1BD0"/>
    <w:rsid w:val="00AB5308"/>
    <w:rsid w:val="00AE159A"/>
    <w:rsid w:val="00B20DBE"/>
    <w:rsid w:val="00B23F78"/>
    <w:rsid w:val="00B40315"/>
    <w:rsid w:val="00B47CEB"/>
    <w:rsid w:val="00B67AC4"/>
    <w:rsid w:val="00B85499"/>
    <w:rsid w:val="00BA31F9"/>
    <w:rsid w:val="00BB23FB"/>
    <w:rsid w:val="00BB50D2"/>
    <w:rsid w:val="00BB5706"/>
    <w:rsid w:val="00BC3F91"/>
    <w:rsid w:val="00BD29EF"/>
    <w:rsid w:val="00C04D71"/>
    <w:rsid w:val="00C07971"/>
    <w:rsid w:val="00C25203"/>
    <w:rsid w:val="00C41178"/>
    <w:rsid w:val="00C96E7A"/>
    <w:rsid w:val="00C97014"/>
    <w:rsid w:val="00CA0B74"/>
    <w:rsid w:val="00CD3CE6"/>
    <w:rsid w:val="00D267AB"/>
    <w:rsid w:val="00DB41EA"/>
    <w:rsid w:val="00DB4FE9"/>
    <w:rsid w:val="00DC550E"/>
    <w:rsid w:val="00DD7260"/>
    <w:rsid w:val="00E02AE8"/>
    <w:rsid w:val="00E179A8"/>
    <w:rsid w:val="00E53491"/>
    <w:rsid w:val="00E93829"/>
    <w:rsid w:val="00E94B25"/>
    <w:rsid w:val="00EC4C8F"/>
    <w:rsid w:val="00EE2587"/>
    <w:rsid w:val="00EF70BB"/>
    <w:rsid w:val="00F23D83"/>
    <w:rsid w:val="00F65A2D"/>
    <w:rsid w:val="00F94A53"/>
    <w:rsid w:val="00FA71FA"/>
    <w:rsid w:val="00FB1DB6"/>
    <w:rsid w:val="00FD7A31"/>
    <w:rsid w:val="00FF2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27649"/>
    <o:shapelayout v:ext="edit">
      <o:idmap v:ext="edit" data="1"/>
    </o:shapelayout>
  </w:shapeDefaults>
  <w:decimalSymbol w:val="."/>
  <w:listSeparator w:val=","/>
  <w14:docId w14:val="16A481FA"/>
  <w15:chartTrackingRefBased/>
  <w15:docId w15:val="{3CDE5D40-B4C1-4644-BCDA-0CBD07819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rPr>
      <w:rFonts w:ascii="Arial" w:hAnsi="Arial"/>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customStyle="1" w:styleId="t">
    <w:name w:val="t"/>
    <w:basedOn w:val="Normal"/>
    <w:pPr>
      <w:spacing w:before="100" w:beforeAutospacing="1" w:after="100" w:afterAutospacing="1"/>
    </w:pPr>
  </w:style>
  <w:style w:type="character" w:styleId="Hyperlink">
    <w:name w:val="Hyperlink"/>
    <w:rPr>
      <w:color w:val="0000FF"/>
      <w:u w:val="single"/>
    </w:rPr>
  </w:style>
  <w:style w:type="paragraph" w:styleId="Revision">
    <w:name w:val="Revision"/>
    <w:hidden/>
    <w:uiPriority w:val="99"/>
    <w:semiHidden/>
    <w:rsid w:val="009E682E"/>
    <w:rPr>
      <w:sz w:val="24"/>
      <w:szCs w:val="24"/>
    </w:rPr>
  </w:style>
  <w:style w:type="character" w:styleId="FollowedHyperlink">
    <w:name w:val="FollowedHyperlink"/>
    <w:basedOn w:val="DefaultParagraphFont"/>
    <w:semiHidden/>
    <w:unhideWhenUsed/>
    <w:rsid w:val="00FB1D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66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ichigan.gov/mdhhs/0,5885,7-339-71550_2941_38765---,00.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DHHS-BHDDA-Contracts-MGMT@michigan.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73FDA-44CB-441F-ABCB-30CC81953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1738</Words>
  <Characters>9943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MDCH/CMHSP Managed Mental Health Supports and Services Contract</vt:lpstr>
    </vt:vector>
  </TitlesOfParts>
  <Company>State Of Michigan</Company>
  <LinksUpToDate>false</LinksUpToDate>
  <CharactersWithSpaces>11658</CharactersWithSpaces>
  <SharedDoc>false</SharedDoc>
  <HLinks>
    <vt:vector size="12" baseType="variant">
      <vt:variant>
        <vt:i4>4522045</vt:i4>
      </vt:variant>
      <vt:variant>
        <vt:i4>3</vt:i4>
      </vt:variant>
      <vt:variant>
        <vt:i4>0</vt:i4>
      </vt:variant>
      <vt:variant>
        <vt:i4>5</vt:i4>
      </vt:variant>
      <vt:variant>
        <vt:lpwstr>mailto:MDHHS-BHDDA-Contracts-MGMT@michigan.gov</vt:lpwstr>
      </vt:variant>
      <vt:variant>
        <vt:lpwstr/>
      </vt:variant>
      <vt:variant>
        <vt:i4>5439512</vt:i4>
      </vt:variant>
      <vt:variant>
        <vt:i4>0</vt:i4>
      </vt:variant>
      <vt:variant>
        <vt:i4>0</vt:i4>
      </vt:variant>
      <vt:variant>
        <vt:i4>5</vt:i4>
      </vt:variant>
      <vt:variant>
        <vt:lpwstr>https://www.michigan.gov/mdhhs/0,5885,7-339-71550_2941_38765---,00.html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MDCH/CMHSP Managed Mental Health Supports and Services Contract</dc:title>
  <dc:subject/>
  <dc:creator>Administrator</dc:creator>
  <cp:keywords/>
  <cp:lastModifiedBy>Kilfoyle, Laura (DHHS)</cp:lastModifiedBy>
  <cp:revision>5</cp:revision>
  <cp:lastPrinted>2018-08-02T21:35:00Z</cp:lastPrinted>
  <dcterms:created xsi:type="dcterms:W3CDTF">2023-05-25T20:57:00Z</dcterms:created>
  <dcterms:modified xsi:type="dcterms:W3CDTF">2024-12-19T16:30:00Z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2021-10-02T03:33:02Z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cd0ab1fc-68d6-4abc-904b-01973b493bb3</vt:lpwstr>
  </property>
  <property fmtid="{D5CDD505-2E9C-101B-9397-08002B2CF9AE}" pid="8" name="MSIP_Label_3a2fed65-62e7-46ea-af74-187e0c17143a_ContentBits">
    <vt:lpwstr>0</vt:lpwstr>
  </property>
</Properties>
</file>