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587A2" w14:textId="77777777" w:rsidR="00014402" w:rsidRDefault="00014402">
      <w:pPr>
        <w:pStyle w:val="BodyText"/>
        <w:spacing w:before="1"/>
        <w:rPr>
          <w:rFonts w:ascii="Times New Roman"/>
          <w:sz w:val="23"/>
        </w:rPr>
      </w:pPr>
    </w:p>
    <w:p w14:paraId="4EC13235" w14:textId="77777777" w:rsidR="00014402" w:rsidRDefault="000A5B6B">
      <w:pPr>
        <w:pStyle w:val="BodyText"/>
        <w:spacing w:before="52" w:line="259" w:lineRule="auto"/>
        <w:ind w:left="1360" w:right="617"/>
        <w:jc w:val="center"/>
      </w:pPr>
      <w:r>
        <w:t xml:space="preserve">Use this tool to identify &amp; prioritize asymptomatic </w:t>
      </w:r>
      <w:r>
        <w:rPr>
          <w:u w:val="single"/>
        </w:rPr>
        <w:t>children</w:t>
      </w:r>
      <w:r>
        <w:t xml:space="preserve"> for latent TB infection (LTBI) testing</w:t>
      </w:r>
      <w:r>
        <w:rPr>
          <w:spacing w:val="-5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not repeat testing unless</w:t>
      </w:r>
      <w:r>
        <w:rPr>
          <w:spacing w:val="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rPr>
          <w:u w:val="single"/>
        </w:rPr>
        <w:t>new</w:t>
      </w:r>
      <w:r>
        <w:t xml:space="preserve"> risk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 last</w:t>
      </w:r>
      <w:r>
        <w:rPr>
          <w:spacing w:val="-1"/>
        </w:rPr>
        <w:t xml:space="preserve"> </w:t>
      </w:r>
      <w:r>
        <w:t>test</w:t>
      </w:r>
      <w:r>
        <w:rPr>
          <w:vertAlign w:val="superscript"/>
        </w:rPr>
        <w:t>†</w:t>
      </w:r>
    </w:p>
    <w:p w14:paraId="64B00BB8" w14:textId="77777777" w:rsidR="00014402" w:rsidRDefault="000A5B6B">
      <w:pPr>
        <w:pStyle w:val="BodyText"/>
        <w:spacing w:before="1"/>
        <w:ind w:left="1356" w:right="617"/>
        <w:jc w:val="center"/>
      </w:pPr>
      <w:r>
        <w:t>Do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treat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LTBI</w:t>
      </w:r>
      <w:r>
        <w:rPr>
          <w:spacing w:val="-3"/>
        </w:rPr>
        <w:t xml:space="preserve"> </w:t>
      </w:r>
      <w:r>
        <w:t>until</w:t>
      </w:r>
      <w:r>
        <w:rPr>
          <w:spacing w:val="-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TB</w:t>
      </w:r>
      <w:r>
        <w:rPr>
          <w:spacing w:val="-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 ruled</w:t>
      </w:r>
      <w:r>
        <w:rPr>
          <w:spacing w:val="-2"/>
        </w:rPr>
        <w:t xml:space="preserve"> </w:t>
      </w:r>
      <w:r>
        <w:t>out</w:t>
      </w:r>
      <w:r>
        <w:rPr>
          <w:vertAlign w:val="superscript"/>
        </w:rPr>
        <w:t>‡</w:t>
      </w:r>
    </w:p>
    <w:p w14:paraId="50BE8455" w14:textId="77777777" w:rsidR="00014402" w:rsidRDefault="00014402">
      <w:pPr>
        <w:pStyle w:val="BodyText"/>
        <w:rPr>
          <w:sz w:val="20"/>
        </w:rPr>
      </w:pPr>
    </w:p>
    <w:p w14:paraId="37E79FB3" w14:textId="77777777" w:rsidR="00014402" w:rsidRDefault="00014402">
      <w:pPr>
        <w:pStyle w:val="BodyText"/>
        <w:spacing w:before="7"/>
        <w:rPr>
          <w:sz w:val="15"/>
        </w:rPr>
      </w:pPr>
    </w:p>
    <w:tbl>
      <w:tblPr>
        <w:tblW w:w="0" w:type="auto"/>
        <w:tblInd w:w="5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42"/>
        <w:gridCol w:w="4093"/>
      </w:tblGrid>
      <w:tr w:rsidR="00014402" w14:paraId="633269F7" w14:textId="77777777">
        <w:trPr>
          <w:trHeight w:val="364"/>
        </w:trPr>
        <w:tc>
          <w:tcPr>
            <w:tcW w:w="6042" w:type="dxa"/>
          </w:tcPr>
          <w:p w14:paraId="4BE6624E" w14:textId="77777777" w:rsidR="00014402" w:rsidRDefault="000A5B6B">
            <w:pPr>
              <w:pStyle w:val="TableParagraph"/>
              <w:tabs>
                <w:tab w:val="left" w:pos="5845"/>
              </w:tabs>
              <w:spacing w:line="244" w:lineRule="exact"/>
              <w:ind w:left="50"/>
              <w:rPr>
                <w:sz w:val="24"/>
              </w:rPr>
            </w:pPr>
            <w:r>
              <w:rPr>
                <w:sz w:val="24"/>
              </w:rPr>
              <w:t>Provider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93" w:type="dxa"/>
          </w:tcPr>
          <w:p w14:paraId="605620BA" w14:textId="77777777" w:rsidR="00014402" w:rsidRDefault="000A5B6B">
            <w:pPr>
              <w:pStyle w:val="TableParagraph"/>
              <w:tabs>
                <w:tab w:val="left" w:pos="3846"/>
              </w:tabs>
              <w:spacing w:line="244" w:lineRule="exact"/>
              <w:jc w:val="right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Date: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  <w:tr w:rsidR="00014402" w14:paraId="126F3F77" w14:textId="77777777">
        <w:trPr>
          <w:trHeight w:val="364"/>
        </w:trPr>
        <w:tc>
          <w:tcPr>
            <w:tcW w:w="6042" w:type="dxa"/>
          </w:tcPr>
          <w:p w14:paraId="2018263D" w14:textId="77777777" w:rsidR="00014402" w:rsidRDefault="000A5B6B">
            <w:pPr>
              <w:pStyle w:val="TableParagraph"/>
              <w:tabs>
                <w:tab w:val="left" w:pos="5834"/>
              </w:tabs>
              <w:spacing w:before="76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Patient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Name: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093" w:type="dxa"/>
          </w:tcPr>
          <w:p w14:paraId="597FAF27" w14:textId="77777777" w:rsidR="00014402" w:rsidRDefault="000A5B6B">
            <w:pPr>
              <w:pStyle w:val="TableParagraph"/>
              <w:tabs>
                <w:tab w:val="left" w:pos="3825"/>
              </w:tabs>
              <w:spacing w:before="76" w:line="269" w:lineRule="exact"/>
              <w:ind w:right="18"/>
              <w:jc w:val="right"/>
              <w:rPr>
                <w:sz w:val="24"/>
              </w:rPr>
            </w:pPr>
            <w:r>
              <w:rPr>
                <w:sz w:val="24"/>
              </w:rPr>
              <w:t xml:space="preserve">DOB: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</w:tr>
    </w:tbl>
    <w:p w14:paraId="50E278F8" w14:textId="77777777" w:rsidR="00014402" w:rsidRDefault="00014402">
      <w:pPr>
        <w:pStyle w:val="BodyText"/>
        <w:rPr>
          <w:sz w:val="20"/>
        </w:rPr>
      </w:pPr>
    </w:p>
    <w:p w14:paraId="1B47998A" w14:textId="77777777" w:rsidR="00014402" w:rsidRDefault="00014402">
      <w:pPr>
        <w:pStyle w:val="BodyText"/>
        <w:spacing w:before="6"/>
        <w:rPr>
          <w:sz w:val="16"/>
        </w:rPr>
      </w:pPr>
    </w:p>
    <w:tbl>
      <w:tblPr>
        <w:tblW w:w="0" w:type="auto"/>
        <w:tblInd w:w="5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2"/>
      </w:tblGrid>
      <w:tr w:rsidR="00014402" w14:paraId="58B13206" w14:textId="77777777">
        <w:trPr>
          <w:trHeight w:val="629"/>
        </w:trPr>
        <w:tc>
          <w:tcPr>
            <w:tcW w:w="10202" w:type="dxa"/>
            <w:shd w:val="clear" w:color="auto" w:fill="1F3863"/>
          </w:tcPr>
          <w:p w14:paraId="24D9F5A3" w14:textId="77777777" w:rsidR="00014402" w:rsidRDefault="000A5B6B">
            <w:pPr>
              <w:pStyle w:val="TableParagraph"/>
              <w:spacing w:before="166"/>
              <w:ind w:left="1430" w:right="1385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TB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testing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recommended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if</w:t>
            </w:r>
            <w:r>
              <w:rPr>
                <w:color w:val="FFFFFF"/>
                <w:spacing w:val="-4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any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of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the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boxes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below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are</w:t>
            </w:r>
            <w:r>
              <w:rPr>
                <w:color w:val="FFFFFF"/>
                <w:spacing w:val="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checked</w:t>
            </w:r>
          </w:p>
        </w:tc>
      </w:tr>
      <w:tr w:rsidR="00014402" w14:paraId="1D1FC434" w14:textId="77777777">
        <w:trPr>
          <w:trHeight w:val="2070"/>
        </w:trPr>
        <w:tc>
          <w:tcPr>
            <w:tcW w:w="10202" w:type="dxa"/>
            <w:tcBorders>
              <w:left w:val="single" w:sz="18" w:space="0" w:color="1F3863"/>
              <w:bottom w:val="single" w:sz="8" w:space="0" w:color="C5DFB3"/>
              <w:right w:val="single" w:sz="18" w:space="0" w:color="1F3863"/>
            </w:tcBorders>
          </w:tcPr>
          <w:p w14:paraId="20D8F8C8" w14:textId="77777777" w:rsidR="00014402" w:rsidRDefault="000A5B6B">
            <w:pPr>
              <w:pStyle w:val="TableParagraph"/>
              <w:spacing w:before="138" w:line="356" w:lineRule="exact"/>
              <w:ind w:left="18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Birth,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travel,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residence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country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an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elevated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TB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rate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least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month</w:t>
            </w:r>
          </w:p>
          <w:p w14:paraId="3ECCDA03" w14:textId="77777777" w:rsidR="00014402" w:rsidRDefault="000A5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right="639"/>
            </w:pPr>
            <w:r>
              <w:t>Includes any country other than the United States, Canada, Australia, New Zealand, or a country in</w:t>
            </w:r>
            <w:r>
              <w:rPr>
                <w:spacing w:val="-47"/>
              </w:rPr>
              <w:t xml:space="preserve"> </w:t>
            </w:r>
            <w:r>
              <w:t>western or</w:t>
            </w:r>
            <w:r>
              <w:rPr>
                <w:spacing w:val="-2"/>
              </w:rPr>
              <w:t xml:space="preserve"> </w:t>
            </w:r>
            <w:r>
              <w:t>northern</w:t>
            </w:r>
            <w:r>
              <w:rPr>
                <w:spacing w:val="-2"/>
              </w:rPr>
              <w:t xml:space="preserve"> </w:t>
            </w:r>
            <w:r>
              <w:t>Europe</w:t>
            </w:r>
          </w:p>
          <w:p w14:paraId="53D47842" w14:textId="77777777" w:rsidR="00014402" w:rsidRDefault="000A5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spacing w:line="300" w:lineRule="exact"/>
              <w:ind w:hanging="227"/>
            </w:pPr>
            <w:r>
              <w:t>Prioritize</w:t>
            </w:r>
            <w:r>
              <w:rPr>
                <w:spacing w:val="-4"/>
              </w:rPr>
              <w:t xml:space="preserve"> </w:t>
            </w:r>
            <w:r>
              <w:t>children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2"/>
              </w:rPr>
              <w:t xml:space="preserve"> </w:t>
            </w:r>
            <w:r>
              <w:t>least</w:t>
            </w:r>
            <w:r>
              <w:rPr>
                <w:spacing w:val="-1"/>
              </w:rPr>
              <w:t xml:space="preserve"> </w:t>
            </w:r>
            <w:r>
              <w:t>one</w:t>
            </w:r>
            <w:r>
              <w:rPr>
                <w:spacing w:val="-5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risk for</w:t>
            </w:r>
            <w:r>
              <w:rPr>
                <w:spacing w:val="-4"/>
              </w:rPr>
              <w:t xml:space="preserve"> </w:t>
            </w:r>
            <w:r>
              <w:t>progression</w:t>
            </w:r>
            <w:r>
              <w:rPr>
                <w:spacing w:val="2"/>
              </w:rPr>
              <w:t xml:space="preserve"> </w:t>
            </w:r>
            <w:r>
              <w:t>(see</w:t>
            </w:r>
            <w:r>
              <w:rPr>
                <w:spacing w:val="-2"/>
              </w:rPr>
              <w:t xml:space="preserve"> </w:t>
            </w:r>
            <w:r>
              <w:t>User</w:t>
            </w:r>
            <w:r>
              <w:rPr>
                <w:spacing w:val="-4"/>
              </w:rPr>
              <w:t xml:space="preserve"> </w:t>
            </w:r>
            <w:r>
              <w:t>Guide on</w:t>
            </w:r>
            <w:r>
              <w:rPr>
                <w:spacing w:val="-1"/>
              </w:rPr>
              <w:t xml:space="preserve"> </w:t>
            </w:r>
            <w:r>
              <w:t>page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this</w:t>
            </w:r>
            <w:r>
              <w:rPr>
                <w:spacing w:val="-1"/>
              </w:rPr>
              <w:t xml:space="preserve"> </w:t>
            </w:r>
            <w:r>
              <w:t>list)</w:t>
            </w:r>
          </w:p>
          <w:p w14:paraId="19166DA5" w14:textId="77777777" w:rsidR="00014402" w:rsidRDefault="000A5B6B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</w:tabs>
              <w:ind w:hanging="227"/>
            </w:pPr>
            <w:r>
              <w:t>Interferon</w:t>
            </w:r>
            <w:r>
              <w:rPr>
                <w:spacing w:val="-5"/>
              </w:rPr>
              <w:t xml:space="preserve"> </w:t>
            </w:r>
            <w:r>
              <w:t>Gamma</w:t>
            </w:r>
            <w:r>
              <w:rPr>
                <w:spacing w:val="-3"/>
              </w:rPr>
              <w:t xml:space="preserve"> </w:t>
            </w:r>
            <w:r>
              <w:t>Release</w:t>
            </w:r>
            <w:r>
              <w:rPr>
                <w:spacing w:val="-5"/>
              </w:rPr>
              <w:t xml:space="preserve"> </w:t>
            </w:r>
            <w:r>
              <w:t>Assay</w:t>
            </w:r>
            <w:r>
              <w:rPr>
                <w:spacing w:val="-2"/>
              </w:rPr>
              <w:t xml:space="preserve"> </w:t>
            </w:r>
            <w:r>
              <w:t>(IGRA)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preferred</w:t>
            </w:r>
            <w:r>
              <w:rPr>
                <w:spacing w:val="-2"/>
              </w:rPr>
              <w:t xml:space="preserve"> </w:t>
            </w:r>
            <w:r>
              <w:t>over</w:t>
            </w:r>
            <w:r>
              <w:rPr>
                <w:spacing w:val="-1"/>
              </w:rPr>
              <w:t xml:space="preserve"> </w:t>
            </w:r>
            <w:r>
              <w:t>Tuberculin</w:t>
            </w:r>
            <w:r>
              <w:rPr>
                <w:spacing w:val="-5"/>
              </w:rPr>
              <w:t xml:space="preserve"> </w:t>
            </w:r>
            <w:r>
              <w:t>Skin</w:t>
            </w:r>
            <w:r>
              <w:rPr>
                <w:spacing w:val="-2"/>
              </w:rPr>
              <w:t xml:space="preserve"> </w:t>
            </w:r>
            <w:r>
              <w:t>Test</w:t>
            </w:r>
            <w:r>
              <w:rPr>
                <w:spacing w:val="-2"/>
              </w:rPr>
              <w:t xml:space="preserve"> </w:t>
            </w:r>
            <w:r>
              <w:t>(TST) for</w:t>
            </w:r>
            <w:r>
              <w:rPr>
                <w:spacing w:val="-5"/>
              </w:rPr>
              <w:t xml:space="preserve"> </w:t>
            </w:r>
            <w:r>
              <w:t>non-U.S.-born</w:t>
            </w:r>
          </w:p>
          <w:p w14:paraId="0C791B7A" w14:textId="77777777" w:rsidR="00014402" w:rsidRDefault="000A5B6B">
            <w:pPr>
              <w:pStyle w:val="TableParagraph"/>
              <w:ind w:left="827"/>
            </w:pPr>
            <w:r>
              <w:t>persons</w:t>
            </w:r>
            <w:r>
              <w:rPr>
                <w:spacing w:val="-3"/>
              </w:rPr>
              <w:t xml:space="preserve"> </w:t>
            </w:r>
            <w:r>
              <w:t>≥2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-1"/>
              </w:rPr>
              <w:t xml:space="preserve"> </w:t>
            </w:r>
            <w:r>
              <w:t>old</w:t>
            </w:r>
          </w:p>
        </w:tc>
      </w:tr>
      <w:tr w:rsidR="00014402" w14:paraId="5223FFBE" w14:textId="77777777">
        <w:trPr>
          <w:trHeight w:val="1446"/>
        </w:trPr>
        <w:tc>
          <w:tcPr>
            <w:tcW w:w="10202" w:type="dxa"/>
            <w:tcBorders>
              <w:top w:val="single" w:sz="8" w:space="0" w:color="C5DFB3"/>
              <w:left w:val="single" w:sz="18" w:space="0" w:color="1F3863"/>
              <w:bottom w:val="single" w:sz="8" w:space="0" w:color="C5DFB3"/>
              <w:right w:val="single" w:sz="18" w:space="0" w:color="1F3863"/>
            </w:tcBorders>
          </w:tcPr>
          <w:p w14:paraId="66B6D129" w14:textId="77777777" w:rsidR="00014402" w:rsidRDefault="000A5B6B">
            <w:pPr>
              <w:pStyle w:val="TableParagraph"/>
              <w:spacing w:before="143" w:line="356" w:lineRule="exact"/>
              <w:ind w:left="18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Immunosuppression,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current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or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planned</w:t>
            </w:r>
          </w:p>
          <w:p w14:paraId="0E82FCAC" w14:textId="77777777" w:rsidR="00014402" w:rsidRDefault="000A5B6B">
            <w:pPr>
              <w:pStyle w:val="TableParagraph"/>
              <w:ind w:left="541" w:right="395"/>
            </w:pPr>
            <w:r>
              <w:t>HIV infection, organ transplant recipient, treated with TNF-alpha antagonist (e.g., infliximab, etanercept,</w:t>
            </w:r>
            <w:r>
              <w:rPr>
                <w:spacing w:val="-47"/>
              </w:rPr>
              <w:t xml:space="preserve"> </w:t>
            </w:r>
            <w:r>
              <w:t>ot</w:t>
            </w:r>
            <w:r>
              <w:t>hers), steroids (equivalent of prednisone ≥2 mg/kg/day, or ≥15 mg/day for ≥2 weeks) or other</w:t>
            </w:r>
            <w:r>
              <w:rPr>
                <w:spacing w:val="1"/>
              </w:rPr>
              <w:t xml:space="preserve"> </w:t>
            </w:r>
            <w:r>
              <w:t>immunosuppressive</w:t>
            </w:r>
            <w:r>
              <w:rPr>
                <w:spacing w:val="-2"/>
              </w:rPr>
              <w:t xml:space="preserve"> </w:t>
            </w:r>
            <w:r>
              <w:t>medication</w:t>
            </w:r>
          </w:p>
        </w:tc>
      </w:tr>
      <w:tr w:rsidR="00014402" w14:paraId="6C398418" w14:textId="77777777">
        <w:trPr>
          <w:trHeight w:val="726"/>
        </w:trPr>
        <w:tc>
          <w:tcPr>
            <w:tcW w:w="10202" w:type="dxa"/>
            <w:tcBorders>
              <w:top w:val="single" w:sz="8" w:space="0" w:color="C5DFB3"/>
              <w:left w:val="single" w:sz="18" w:space="0" w:color="1F3863"/>
              <w:right w:val="single" w:sz="18" w:space="0" w:color="1F3863"/>
            </w:tcBorders>
          </w:tcPr>
          <w:p w14:paraId="4A16EAC6" w14:textId="77777777" w:rsidR="00014402" w:rsidRDefault="000A5B6B">
            <w:pPr>
              <w:pStyle w:val="TableParagraph"/>
              <w:spacing w:before="186"/>
              <w:ind w:left="181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Close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contact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someone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with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infectious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TB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disease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during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lifetime</w:t>
            </w:r>
          </w:p>
        </w:tc>
      </w:tr>
      <w:tr w:rsidR="00014402" w14:paraId="51BD52FB" w14:textId="77777777">
        <w:trPr>
          <w:trHeight w:val="651"/>
        </w:trPr>
        <w:tc>
          <w:tcPr>
            <w:tcW w:w="10202" w:type="dxa"/>
            <w:shd w:val="clear" w:color="auto" w:fill="1F3863"/>
          </w:tcPr>
          <w:p w14:paraId="758D8893" w14:textId="77777777" w:rsidR="00014402" w:rsidRDefault="000A5B6B">
            <w:pPr>
              <w:pStyle w:val="TableParagraph"/>
              <w:spacing w:before="143"/>
              <w:ind w:left="958"/>
              <w:rPr>
                <w:sz w:val="28"/>
              </w:rPr>
            </w:pPr>
            <w:r>
              <w:rPr>
                <w:color w:val="FFFFFF"/>
                <w:sz w:val="28"/>
              </w:rPr>
              <w:t>Treat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for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LTBI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if TB</w:t>
            </w:r>
            <w:r>
              <w:rPr>
                <w:color w:val="FFFFFF"/>
                <w:spacing w:val="-1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test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result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positive</w:t>
            </w:r>
            <w:r>
              <w:rPr>
                <w:color w:val="FFFFFF"/>
                <w:spacing w:val="-3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and active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TB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disease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is</w:t>
            </w:r>
            <w:r>
              <w:rPr>
                <w:color w:val="FFFFFF"/>
                <w:spacing w:val="-2"/>
                <w:sz w:val="28"/>
              </w:rPr>
              <w:t xml:space="preserve"> </w:t>
            </w:r>
            <w:r>
              <w:rPr>
                <w:color w:val="FFFFFF"/>
                <w:sz w:val="28"/>
              </w:rPr>
              <w:t>ruled out</w:t>
            </w:r>
            <w:r>
              <w:rPr>
                <w:color w:val="FFFFFF"/>
                <w:sz w:val="28"/>
                <w:vertAlign w:val="superscript"/>
              </w:rPr>
              <w:t>‡</w:t>
            </w:r>
          </w:p>
        </w:tc>
      </w:tr>
      <w:tr w:rsidR="00014402" w14:paraId="1D8C7A36" w14:textId="77777777">
        <w:trPr>
          <w:trHeight w:val="443"/>
        </w:trPr>
        <w:tc>
          <w:tcPr>
            <w:tcW w:w="10202" w:type="dxa"/>
            <w:tcBorders>
              <w:top w:val="single" w:sz="18" w:space="0" w:color="1F3863"/>
            </w:tcBorders>
          </w:tcPr>
          <w:p w14:paraId="67255075" w14:textId="77777777" w:rsidR="00014402" w:rsidRDefault="000A5B6B">
            <w:pPr>
              <w:pStyle w:val="TableParagraph"/>
              <w:spacing w:before="92" w:line="332" w:lineRule="exact"/>
              <w:ind w:left="223"/>
              <w:rPr>
                <w:sz w:val="28"/>
              </w:rPr>
            </w:pPr>
            <w:r>
              <w:rPr>
                <w:rFonts w:ascii="Symbol" w:hAnsi="Symbol"/>
                <w:sz w:val="28"/>
              </w:rPr>
              <w:t></w:t>
            </w:r>
            <w:r>
              <w:rPr>
                <w:rFonts w:ascii="Times New Roman" w:hAnsi="Times New Roman"/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None;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no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TB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testing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indicated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at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this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time</w:t>
            </w:r>
          </w:p>
        </w:tc>
      </w:tr>
    </w:tbl>
    <w:p w14:paraId="31393E10" w14:textId="77777777" w:rsidR="00014402" w:rsidRDefault="00014402">
      <w:pPr>
        <w:pStyle w:val="BodyText"/>
        <w:rPr>
          <w:sz w:val="20"/>
        </w:rPr>
      </w:pPr>
    </w:p>
    <w:p w14:paraId="7C0EBA7C" w14:textId="77777777" w:rsidR="00014402" w:rsidRDefault="00014402">
      <w:pPr>
        <w:pStyle w:val="BodyText"/>
        <w:spacing w:before="9"/>
        <w:rPr>
          <w:sz w:val="22"/>
        </w:rPr>
      </w:pPr>
    </w:p>
    <w:tbl>
      <w:tblPr>
        <w:tblW w:w="0" w:type="auto"/>
        <w:tblInd w:w="1083" w:type="dxa"/>
        <w:tblBorders>
          <w:top w:val="single" w:sz="12" w:space="0" w:color="1F3863"/>
          <w:left w:val="single" w:sz="12" w:space="0" w:color="1F3863"/>
          <w:bottom w:val="single" w:sz="12" w:space="0" w:color="1F3863"/>
          <w:right w:val="single" w:sz="12" w:space="0" w:color="1F3863"/>
          <w:insideH w:val="single" w:sz="12" w:space="0" w:color="1F3863"/>
          <w:insideV w:val="single" w:sz="12" w:space="0" w:color="1F38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9"/>
        <w:gridCol w:w="1267"/>
        <w:gridCol w:w="1352"/>
        <w:gridCol w:w="2249"/>
      </w:tblGrid>
      <w:tr w:rsidR="00014402" w14:paraId="2E78F3C1" w14:textId="77777777">
        <w:trPr>
          <w:trHeight w:val="527"/>
        </w:trPr>
        <w:tc>
          <w:tcPr>
            <w:tcW w:w="4119" w:type="dxa"/>
            <w:tcBorders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5C151C9C" w14:textId="77777777" w:rsidR="00014402" w:rsidRDefault="000A5B6B">
            <w:pPr>
              <w:pStyle w:val="TableParagraph"/>
              <w:spacing w:before="116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ordered?</w:t>
            </w:r>
          </w:p>
        </w:tc>
        <w:tc>
          <w:tcPr>
            <w:tcW w:w="1267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0F7665D" w14:textId="77777777" w:rsidR="00014402" w:rsidRDefault="000A5B6B">
            <w:pPr>
              <w:pStyle w:val="TableParagraph"/>
              <w:spacing w:before="116"/>
              <w:ind w:left="47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52" w:type="dxa"/>
            <w:tcBorders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1E1EC186" w14:textId="77777777" w:rsidR="00014402" w:rsidRDefault="000A5B6B">
            <w:pPr>
              <w:pStyle w:val="TableParagraph"/>
              <w:spacing w:before="116"/>
              <w:ind w:left="425" w:right="39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49" w:type="dxa"/>
            <w:vMerge w:val="restart"/>
            <w:tcBorders>
              <w:left w:val="single" w:sz="4" w:space="0" w:color="A8D08D"/>
              <w:bottom w:val="single" w:sz="4" w:space="0" w:color="A8D08D"/>
            </w:tcBorders>
          </w:tcPr>
          <w:p w14:paraId="1CF2ECF3" w14:textId="77777777" w:rsidR="00014402" w:rsidRDefault="00014402">
            <w:pPr>
              <w:pStyle w:val="TableParagraph"/>
              <w:rPr>
                <w:rFonts w:ascii="Times New Roman"/>
              </w:rPr>
            </w:pPr>
          </w:p>
        </w:tc>
      </w:tr>
      <w:tr w:rsidR="00014402" w14:paraId="47F1F937" w14:textId="77777777">
        <w:trPr>
          <w:trHeight w:val="453"/>
        </w:trPr>
        <w:tc>
          <w:tcPr>
            <w:tcW w:w="4119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712C05E8" w14:textId="77777777" w:rsidR="00014402" w:rsidRDefault="000A5B6B">
            <w:pPr>
              <w:pStyle w:val="TableParagraph"/>
              <w:spacing w:before="8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type?</w:t>
            </w:r>
          </w:p>
        </w:tc>
        <w:tc>
          <w:tcPr>
            <w:tcW w:w="12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40EB8A78" w14:textId="77777777" w:rsidR="00014402" w:rsidRDefault="000A5B6B">
            <w:pPr>
              <w:pStyle w:val="TableParagraph"/>
              <w:spacing w:before="81"/>
              <w:ind w:left="465"/>
              <w:rPr>
                <w:sz w:val="24"/>
              </w:rPr>
            </w:pPr>
            <w:r>
              <w:rPr>
                <w:sz w:val="24"/>
              </w:rPr>
              <w:t>TST</w:t>
            </w:r>
          </w:p>
        </w:tc>
        <w:tc>
          <w:tcPr>
            <w:tcW w:w="13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272BFABB" w14:textId="77777777" w:rsidR="00014402" w:rsidRDefault="000A5B6B">
            <w:pPr>
              <w:pStyle w:val="TableParagraph"/>
              <w:spacing w:before="81"/>
              <w:ind w:left="425" w:right="403"/>
              <w:jc w:val="center"/>
              <w:rPr>
                <w:sz w:val="24"/>
              </w:rPr>
            </w:pPr>
            <w:r>
              <w:rPr>
                <w:sz w:val="24"/>
              </w:rPr>
              <w:t>IGRA</w:t>
            </w:r>
          </w:p>
        </w:tc>
        <w:tc>
          <w:tcPr>
            <w:tcW w:w="2249" w:type="dxa"/>
            <w:vMerge/>
            <w:tcBorders>
              <w:top w:val="nil"/>
              <w:left w:val="single" w:sz="4" w:space="0" w:color="A8D08D"/>
              <w:bottom w:val="single" w:sz="4" w:space="0" w:color="A8D08D"/>
            </w:tcBorders>
          </w:tcPr>
          <w:p w14:paraId="5D3EA94E" w14:textId="77777777" w:rsidR="00014402" w:rsidRDefault="00014402">
            <w:pPr>
              <w:rPr>
                <w:sz w:val="2"/>
                <w:szCs w:val="2"/>
              </w:rPr>
            </w:pPr>
          </w:p>
        </w:tc>
      </w:tr>
      <w:tr w:rsidR="00014402" w14:paraId="071E32DF" w14:textId="77777777">
        <w:trPr>
          <w:trHeight w:val="489"/>
        </w:trPr>
        <w:tc>
          <w:tcPr>
            <w:tcW w:w="4119" w:type="dxa"/>
            <w:tcBorders>
              <w:top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F1F1F1"/>
          </w:tcPr>
          <w:p w14:paraId="28F291B1" w14:textId="77777777" w:rsidR="00014402" w:rsidRDefault="000A5B6B">
            <w:pPr>
              <w:pStyle w:val="TableParagraph"/>
              <w:spacing w:before="97"/>
              <w:ind w:right="79"/>
              <w:jc w:val="right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</w:tc>
        <w:tc>
          <w:tcPr>
            <w:tcW w:w="1267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7CCBFD8D" w14:textId="77777777" w:rsidR="00014402" w:rsidRDefault="000A5B6B">
            <w:pPr>
              <w:pStyle w:val="TableParagraph"/>
              <w:spacing w:before="97"/>
              <w:ind w:left="444"/>
              <w:rPr>
                <w:sz w:val="24"/>
              </w:rPr>
            </w:pPr>
            <w:r>
              <w:rPr>
                <w:sz w:val="24"/>
              </w:rPr>
              <w:t>Neg</w:t>
            </w:r>
          </w:p>
        </w:tc>
        <w:tc>
          <w:tcPr>
            <w:tcW w:w="1352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</w:tcPr>
          <w:p w14:paraId="38CB0AA7" w14:textId="77777777" w:rsidR="00014402" w:rsidRDefault="000A5B6B">
            <w:pPr>
              <w:pStyle w:val="TableParagraph"/>
              <w:spacing w:before="97"/>
              <w:ind w:left="425" w:right="400"/>
              <w:jc w:val="center"/>
              <w:rPr>
                <w:sz w:val="24"/>
              </w:rPr>
            </w:pPr>
            <w:r>
              <w:rPr>
                <w:sz w:val="24"/>
              </w:rPr>
              <w:t>Pos</w:t>
            </w:r>
          </w:p>
        </w:tc>
        <w:tc>
          <w:tcPr>
            <w:tcW w:w="2249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</w:tcBorders>
          </w:tcPr>
          <w:p w14:paraId="60646908" w14:textId="77777777" w:rsidR="00014402" w:rsidRDefault="000A5B6B">
            <w:pPr>
              <w:pStyle w:val="TableParagraph"/>
              <w:tabs>
                <w:tab w:val="left" w:pos="1629"/>
              </w:tabs>
              <w:spacing w:before="97"/>
              <w:ind w:left="22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TST,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mm</w:t>
            </w:r>
          </w:p>
        </w:tc>
      </w:tr>
      <w:tr w:rsidR="00014402" w14:paraId="2DA8326D" w14:textId="77777777">
        <w:trPr>
          <w:trHeight w:val="539"/>
        </w:trPr>
        <w:tc>
          <w:tcPr>
            <w:tcW w:w="4119" w:type="dxa"/>
            <w:tcBorders>
              <w:top w:val="single" w:sz="4" w:space="0" w:color="A8D08D"/>
              <w:right w:val="single" w:sz="4" w:space="0" w:color="A8D08D"/>
            </w:tcBorders>
            <w:shd w:val="clear" w:color="auto" w:fill="F1F1F1"/>
          </w:tcPr>
          <w:p w14:paraId="2C925C1F" w14:textId="77777777" w:rsidR="00014402" w:rsidRDefault="000A5B6B">
            <w:pPr>
              <w:pStyle w:val="TableParagraph"/>
              <w:spacing w:before="121"/>
              <w:ind w:right="81"/>
              <w:jc w:val="righ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evaluation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CXR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recommended</w:t>
            </w:r>
          </w:p>
        </w:tc>
        <w:tc>
          <w:tcPr>
            <w:tcW w:w="1267" w:type="dxa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</w:tcPr>
          <w:p w14:paraId="05E4D334" w14:textId="77777777" w:rsidR="00014402" w:rsidRDefault="000A5B6B">
            <w:pPr>
              <w:pStyle w:val="TableParagraph"/>
              <w:spacing w:before="121"/>
              <w:ind w:left="47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52" w:type="dxa"/>
            <w:tcBorders>
              <w:top w:val="single" w:sz="4" w:space="0" w:color="A8D08D"/>
              <w:left w:val="single" w:sz="4" w:space="0" w:color="A8D08D"/>
              <w:right w:val="single" w:sz="4" w:space="0" w:color="A8D08D"/>
            </w:tcBorders>
          </w:tcPr>
          <w:p w14:paraId="36871F5F" w14:textId="77777777" w:rsidR="00014402" w:rsidRDefault="000A5B6B">
            <w:pPr>
              <w:pStyle w:val="TableParagraph"/>
              <w:spacing w:before="121"/>
              <w:ind w:left="425" w:right="398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49" w:type="dxa"/>
            <w:tcBorders>
              <w:top w:val="single" w:sz="4" w:space="0" w:color="A8D08D"/>
              <w:left w:val="single" w:sz="4" w:space="0" w:color="A8D08D"/>
            </w:tcBorders>
          </w:tcPr>
          <w:p w14:paraId="78CB632A" w14:textId="77777777" w:rsidR="00014402" w:rsidRDefault="00014402">
            <w:pPr>
              <w:pStyle w:val="TableParagraph"/>
              <w:rPr>
                <w:rFonts w:ascii="Times New Roman"/>
              </w:rPr>
            </w:pPr>
          </w:p>
        </w:tc>
      </w:tr>
    </w:tbl>
    <w:p w14:paraId="28A3564B" w14:textId="77777777" w:rsidR="00014402" w:rsidRDefault="00014402">
      <w:pPr>
        <w:pStyle w:val="BodyText"/>
        <w:spacing w:before="4"/>
        <w:rPr>
          <w:sz w:val="23"/>
        </w:rPr>
      </w:pPr>
    </w:p>
    <w:p w14:paraId="1D3234CB" w14:textId="77777777" w:rsidR="00014402" w:rsidRDefault="000A5B6B">
      <w:pPr>
        <w:ind w:left="520"/>
        <w:rPr>
          <w:i/>
          <w:sz w:val="20"/>
        </w:rPr>
      </w:pPr>
      <w:r>
        <w:rPr>
          <w:sz w:val="20"/>
          <w:vertAlign w:val="superscript"/>
        </w:rPr>
        <w:t>†</w:t>
      </w:r>
      <w:r>
        <w:rPr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initial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negative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screening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test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occurred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prior to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months of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age,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repeat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testing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should occur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at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  <w:u w:val="single"/>
        </w:rPr>
        <w:t>&gt;</w:t>
      </w:r>
      <w:r>
        <w:rPr>
          <w:i/>
          <w:sz w:val="20"/>
        </w:rPr>
        <w:t>6 months.</w:t>
      </w:r>
    </w:p>
    <w:p w14:paraId="2A201668" w14:textId="277B1C8B" w:rsidR="00014402" w:rsidRDefault="000A5B6B">
      <w:pPr>
        <w:spacing w:before="58"/>
        <w:ind w:left="520"/>
        <w:rPr>
          <w:i/>
          <w:sz w:val="20"/>
        </w:rPr>
      </w:pPr>
      <w:r>
        <w:rPr>
          <w:w w:val="95"/>
          <w:sz w:val="20"/>
          <w:vertAlign w:val="superscript"/>
        </w:rPr>
        <w:t>‡</w:t>
      </w:r>
      <w:r>
        <w:rPr>
          <w:spacing w:val="-2"/>
          <w:w w:val="95"/>
          <w:sz w:val="20"/>
        </w:rPr>
        <w:t xml:space="preserve"> </w:t>
      </w:r>
      <w:r>
        <w:rPr>
          <w:i/>
          <w:w w:val="95"/>
          <w:sz w:val="20"/>
        </w:rPr>
        <w:t>For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children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with</w:t>
      </w:r>
      <w:r>
        <w:rPr>
          <w:i/>
          <w:spacing w:val="23"/>
          <w:w w:val="95"/>
          <w:sz w:val="20"/>
        </w:rPr>
        <w:t xml:space="preserve"> </w:t>
      </w:r>
      <w:r>
        <w:rPr>
          <w:i/>
          <w:w w:val="95"/>
          <w:sz w:val="20"/>
        </w:rPr>
        <w:t>TB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symptoms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or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abnormal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CXR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consistent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with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active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TB</w:t>
      </w:r>
      <w:r>
        <w:rPr>
          <w:i/>
          <w:spacing w:val="18"/>
          <w:w w:val="95"/>
          <w:sz w:val="20"/>
        </w:rPr>
        <w:t xml:space="preserve"> </w:t>
      </w:r>
      <w:r>
        <w:rPr>
          <w:i/>
          <w:w w:val="95"/>
          <w:sz w:val="20"/>
        </w:rPr>
        <w:t>disease,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evaluate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for</w:t>
      </w:r>
      <w:r>
        <w:rPr>
          <w:i/>
          <w:spacing w:val="20"/>
          <w:w w:val="95"/>
          <w:sz w:val="20"/>
        </w:rPr>
        <w:t xml:space="preserve"> </w:t>
      </w:r>
      <w:r>
        <w:rPr>
          <w:i/>
          <w:w w:val="95"/>
          <w:sz w:val="20"/>
        </w:rPr>
        <w:t>active</w:t>
      </w:r>
      <w:r>
        <w:rPr>
          <w:i/>
          <w:spacing w:val="21"/>
          <w:w w:val="95"/>
          <w:sz w:val="20"/>
        </w:rPr>
        <w:t xml:space="preserve"> </w:t>
      </w:r>
      <w:r>
        <w:rPr>
          <w:i/>
          <w:w w:val="95"/>
          <w:sz w:val="20"/>
        </w:rPr>
        <w:t>TB</w:t>
      </w:r>
      <w:r>
        <w:rPr>
          <w:i/>
          <w:spacing w:val="22"/>
          <w:w w:val="95"/>
          <w:sz w:val="20"/>
        </w:rPr>
        <w:t xml:space="preserve"> </w:t>
      </w:r>
      <w:r>
        <w:rPr>
          <w:i/>
          <w:w w:val="95"/>
          <w:sz w:val="20"/>
        </w:rPr>
        <w:t>disease</w:t>
      </w:r>
      <w:r>
        <w:rPr>
          <w:i/>
          <w:spacing w:val="19"/>
          <w:w w:val="95"/>
          <w:sz w:val="20"/>
        </w:rPr>
        <w:t xml:space="preserve"> </w:t>
      </w:r>
      <w:r>
        <w:rPr>
          <w:i/>
          <w:w w:val="95"/>
          <w:sz w:val="20"/>
        </w:rPr>
        <w:t>with</w:t>
      </w:r>
      <w:r>
        <w:rPr>
          <w:i/>
          <w:spacing w:val="24"/>
          <w:w w:val="95"/>
          <w:sz w:val="20"/>
        </w:rPr>
        <w:t xml:space="preserve"> </w:t>
      </w:r>
      <w:r>
        <w:rPr>
          <w:i/>
          <w:w w:val="95"/>
          <w:sz w:val="20"/>
        </w:rPr>
        <w:t>a</w:t>
      </w:r>
      <w:r>
        <w:rPr>
          <w:i/>
          <w:spacing w:val="26"/>
          <w:w w:val="95"/>
          <w:sz w:val="20"/>
        </w:rPr>
        <w:t xml:space="preserve"> </w:t>
      </w:r>
      <w:r>
        <w:rPr>
          <w:i/>
          <w:w w:val="95"/>
          <w:sz w:val="20"/>
        </w:rPr>
        <w:t>CXR,</w:t>
      </w:r>
      <w:r>
        <w:rPr>
          <w:i/>
          <w:spacing w:val="1"/>
          <w:w w:val="95"/>
          <w:sz w:val="20"/>
        </w:rPr>
        <w:t xml:space="preserve"> </w:t>
      </w:r>
      <w:r w:rsidRPr="000A5B6B">
        <w:rPr>
          <w:i/>
          <w:sz w:val="20"/>
        </w:rPr>
        <w:t>symptom</w:t>
      </w:r>
      <w:r w:rsidRPr="000A5B6B">
        <w:rPr>
          <w:i/>
          <w:spacing w:val="-3"/>
          <w:sz w:val="20"/>
        </w:rPr>
        <w:t xml:space="preserve"> </w:t>
      </w:r>
      <w:r w:rsidRPr="000A5B6B">
        <w:rPr>
          <w:i/>
          <w:sz w:val="20"/>
        </w:rPr>
        <w:t>screen</w:t>
      </w:r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indicated,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sputum acid-fast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bacilli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(AFB)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smears,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cultures,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nucleic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acid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amplification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testing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(NAAT).</w:t>
      </w:r>
    </w:p>
    <w:p w14:paraId="2C085246" w14:textId="77777777" w:rsidR="00014402" w:rsidRDefault="00014402">
      <w:pPr>
        <w:rPr>
          <w:sz w:val="20"/>
        </w:rPr>
        <w:sectPr w:rsidR="0001440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840" w:right="580" w:bottom="780" w:left="560" w:header="474" w:footer="592" w:gutter="0"/>
          <w:pgNumType w:start="1"/>
          <w:cols w:space="720"/>
        </w:sectPr>
      </w:pPr>
    </w:p>
    <w:p w14:paraId="56490DA3" w14:textId="77777777" w:rsidR="00014402" w:rsidRDefault="00014402">
      <w:pPr>
        <w:pStyle w:val="BodyText"/>
        <w:rPr>
          <w:i/>
          <w:sz w:val="20"/>
        </w:rPr>
      </w:pPr>
    </w:p>
    <w:p w14:paraId="4B9D079F" w14:textId="77777777" w:rsidR="00014402" w:rsidRDefault="00014402">
      <w:pPr>
        <w:pStyle w:val="BodyText"/>
        <w:spacing w:before="6"/>
        <w:rPr>
          <w:i/>
          <w:sz w:val="28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3"/>
        <w:gridCol w:w="5473"/>
      </w:tblGrid>
      <w:tr w:rsidR="00014402" w14:paraId="4D58BA01" w14:textId="77777777">
        <w:trPr>
          <w:trHeight w:val="11561"/>
        </w:trPr>
        <w:tc>
          <w:tcPr>
            <w:tcW w:w="5423" w:type="dxa"/>
          </w:tcPr>
          <w:p w14:paraId="623A3DB2" w14:textId="77777777" w:rsidR="00014402" w:rsidRDefault="000A5B6B">
            <w:pPr>
              <w:pStyle w:val="TableParagraph"/>
              <w:spacing w:line="285" w:lineRule="exact"/>
              <w:ind w:left="50"/>
              <w:rPr>
                <w:sz w:val="28"/>
              </w:rPr>
            </w:pPr>
            <w:r>
              <w:rPr>
                <w:color w:val="1F3863"/>
                <w:sz w:val="28"/>
              </w:rPr>
              <w:t>Avoid</w:t>
            </w:r>
            <w:r>
              <w:rPr>
                <w:color w:val="1F3863"/>
                <w:spacing w:val="-2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testing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children</w:t>
            </w:r>
            <w:r>
              <w:rPr>
                <w:color w:val="1F3863"/>
                <w:spacing w:val="-3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at</w:t>
            </w:r>
            <w:r>
              <w:rPr>
                <w:color w:val="1F3863"/>
                <w:spacing w:val="-4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low</w:t>
            </w:r>
            <w:r>
              <w:rPr>
                <w:color w:val="1F3863"/>
                <w:spacing w:val="-2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risk</w:t>
            </w:r>
          </w:p>
          <w:p w14:paraId="6F5DB4D2" w14:textId="77777777" w:rsidR="00014402" w:rsidRDefault="000A5B6B">
            <w:pPr>
              <w:pStyle w:val="TableParagraph"/>
              <w:ind w:left="50" w:right="320"/>
              <w:rPr>
                <w:sz w:val="24"/>
              </w:rPr>
            </w:pPr>
            <w:r>
              <w:rPr>
                <w:sz w:val="24"/>
              </w:rPr>
              <w:t>Routine testing of persons without risk factors is not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recommended and may result in unnecessary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evaluations and treatment because of false-positive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test results.</w:t>
            </w:r>
          </w:p>
          <w:p w14:paraId="78EED05A" w14:textId="77777777" w:rsidR="00014402" w:rsidRDefault="00014402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7CBBF478" w14:textId="77777777" w:rsidR="00014402" w:rsidRDefault="000A5B6B">
            <w:pPr>
              <w:pStyle w:val="TableParagraph"/>
              <w:ind w:left="50" w:right="354"/>
              <w:rPr>
                <w:sz w:val="24"/>
              </w:rPr>
            </w:pPr>
            <w:r>
              <w:rPr>
                <w:color w:val="1F3863"/>
                <w:sz w:val="28"/>
              </w:rPr>
              <w:t>When to repeat a risk assessment and test</w:t>
            </w:r>
            <w:r>
              <w:rPr>
                <w:color w:val="1F3863"/>
                <w:spacing w:val="1"/>
                <w:sz w:val="28"/>
              </w:rPr>
              <w:t xml:space="preserve"> </w:t>
            </w:r>
            <w:r>
              <w:rPr>
                <w:sz w:val="24"/>
              </w:rPr>
              <w:t>The risk assessment should be administered at leas</w:t>
            </w:r>
            <w:r>
              <w:rPr>
                <w:sz w:val="24"/>
              </w:rPr>
              <w:t>t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once. Children can be screened for new risk factors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 subsequent preventive health visits. Re-testing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only be done in children who previously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tested negative and have </w:t>
            </w:r>
            <w:r>
              <w:rPr>
                <w:sz w:val="24"/>
                <w:u w:val="single"/>
              </w:rPr>
              <w:t>new</w:t>
            </w:r>
            <w:r>
              <w:rPr>
                <w:sz w:val="24"/>
              </w:rPr>
              <w:t xml:space="preserve"> risk factors since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last assessment (unless they were &lt;6 months of age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>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time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testing).</w:t>
            </w:r>
          </w:p>
          <w:p w14:paraId="519E8F76" w14:textId="77777777" w:rsidR="00014402" w:rsidRDefault="00014402">
            <w:pPr>
              <w:pStyle w:val="TableParagraph"/>
              <w:rPr>
                <w:i/>
                <w:sz w:val="24"/>
              </w:rPr>
            </w:pPr>
          </w:p>
          <w:p w14:paraId="4AF2830D" w14:textId="77777777" w:rsidR="00014402" w:rsidRDefault="000A5B6B">
            <w:pPr>
              <w:pStyle w:val="TableParagraph"/>
              <w:ind w:left="50"/>
              <w:rPr>
                <w:sz w:val="28"/>
              </w:rPr>
            </w:pPr>
            <w:r>
              <w:rPr>
                <w:color w:val="1F3863"/>
                <w:sz w:val="28"/>
              </w:rPr>
              <w:t>Immunosuppression</w:t>
            </w:r>
          </w:p>
          <w:p w14:paraId="549A53C0" w14:textId="77777777" w:rsidR="00014402" w:rsidRDefault="000A5B6B">
            <w:pPr>
              <w:pStyle w:val="TableParagraph"/>
              <w:spacing w:before="1"/>
              <w:ind w:left="50" w:right="517"/>
              <w:rPr>
                <w:sz w:val="24"/>
              </w:rPr>
            </w:pPr>
            <w:r>
              <w:rPr>
                <w:sz w:val="24"/>
              </w:rPr>
              <w:t>The exact level of immunosuppression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predisposes increased risk for TB progression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unknown. The threshold of steroid dose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duration used in this risk assessment are based 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data in adults and in accord</w:t>
            </w:r>
            <w:r>
              <w:rPr>
                <w:sz w:val="24"/>
              </w:rPr>
              <w:t>ance with ACIP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recommendations for live vaccines in 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receiving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immunosuppression.</w:t>
            </w:r>
          </w:p>
          <w:p w14:paraId="3F8BD846" w14:textId="77777777" w:rsidR="00014402" w:rsidRDefault="00014402">
            <w:pPr>
              <w:pStyle w:val="TableParagraph"/>
              <w:rPr>
                <w:i/>
                <w:sz w:val="24"/>
              </w:rPr>
            </w:pPr>
          </w:p>
          <w:p w14:paraId="72F4C201" w14:textId="77777777" w:rsidR="00014402" w:rsidRDefault="000A5B6B">
            <w:pPr>
              <w:pStyle w:val="TableParagraph"/>
              <w:ind w:left="50"/>
              <w:rPr>
                <w:sz w:val="28"/>
              </w:rPr>
            </w:pPr>
            <w:r>
              <w:rPr>
                <w:color w:val="1F3863"/>
                <w:sz w:val="28"/>
              </w:rPr>
              <w:t>Mandated</w:t>
            </w:r>
            <w:r>
              <w:rPr>
                <w:color w:val="1F3863"/>
                <w:spacing w:val="-2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testing</w:t>
            </w:r>
          </w:p>
          <w:p w14:paraId="32C392A1" w14:textId="77777777" w:rsidR="00014402" w:rsidRDefault="000A5B6B">
            <w:pPr>
              <w:pStyle w:val="TableParagraph"/>
              <w:spacing w:before="1"/>
              <w:ind w:left="50" w:right="333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populations 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mandated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testing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statute, regulation, or policy (e.g., students,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members of child home centers, etc.) This 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 was created to focus testing on children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at highest risk and does not supersede mandated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testing. Please refer to the </w:t>
            </w:r>
            <w:hyperlink r:id="rId13">
              <w:r>
                <w:rPr>
                  <w:color w:val="0462C1"/>
                  <w:sz w:val="24"/>
                  <w:u w:val="single" w:color="0462C1"/>
                </w:rPr>
                <w:t>Michigan Department of</w:t>
              </w:r>
            </w:hyperlink>
            <w:r>
              <w:rPr>
                <w:color w:val="0462C1"/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462C1"/>
                  <w:sz w:val="24"/>
                  <w:u w:val="single" w:color="0462C1"/>
                </w:rPr>
                <w:t>Licensing and Regulatory Affairs</w:t>
              </w:r>
              <w:r>
                <w:rPr>
                  <w:color w:val="0462C1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(LARA) for 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 about TB screening regulation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Michigan.</w:t>
            </w:r>
          </w:p>
          <w:p w14:paraId="13DD047B" w14:textId="77777777" w:rsidR="00014402" w:rsidRDefault="00014402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21019BEE" w14:textId="77777777" w:rsidR="00014402" w:rsidRDefault="000A5B6B">
            <w:pPr>
              <w:pStyle w:val="TableParagraph"/>
              <w:ind w:left="50" w:right="311"/>
              <w:rPr>
                <w:sz w:val="24"/>
              </w:rPr>
            </w:pPr>
            <w:r>
              <w:rPr>
                <w:sz w:val="24"/>
              </w:rPr>
              <w:t>Testing should also be considered in children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frequent exposure to adults at high risk of 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extensive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travel</w:t>
            </w:r>
          </w:p>
          <w:p w14:paraId="55C7CA9B" w14:textId="77777777" w:rsidR="00014402" w:rsidRDefault="000A5B6B">
            <w:pPr>
              <w:pStyle w:val="TableParagraph"/>
              <w:spacing w:before="2"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 with high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rates.</w:t>
            </w:r>
          </w:p>
        </w:tc>
        <w:tc>
          <w:tcPr>
            <w:tcW w:w="5473" w:type="dxa"/>
          </w:tcPr>
          <w:p w14:paraId="6CB491A5" w14:textId="77777777" w:rsidR="00014402" w:rsidRDefault="000A5B6B">
            <w:pPr>
              <w:pStyle w:val="TableParagraph"/>
              <w:spacing w:line="285" w:lineRule="exact"/>
              <w:ind w:left="316"/>
              <w:rPr>
                <w:sz w:val="28"/>
              </w:rPr>
            </w:pPr>
            <w:r>
              <w:rPr>
                <w:color w:val="1F3863"/>
                <w:sz w:val="28"/>
              </w:rPr>
              <w:t>IGRA</w:t>
            </w:r>
            <w:r>
              <w:rPr>
                <w:color w:val="1F3863"/>
                <w:spacing w:val="-4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preference</w:t>
            </w:r>
            <w:r>
              <w:rPr>
                <w:color w:val="1F3863"/>
                <w:spacing w:val="-2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in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non-US-born</w:t>
            </w:r>
            <w:r>
              <w:rPr>
                <w:color w:val="1F3863"/>
                <w:spacing w:val="-4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children</w:t>
            </w:r>
            <w:r>
              <w:rPr>
                <w:color w:val="1F3863"/>
                <w:spacing w:val="-2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≥2</w:t>
            </w:r>
          </w:p>
          <w:p w14:paraId="66445203" w14:textId="77777777" w:rsidR="00014402" w:rsidRDefault="000A5B6B">
            <w:pPr>
              <w:pStyle w:val="TableParagraph"/>
              <w:spacing w:line="341" w:lineRule="exact"/>
              <w:ind w:left="316"/>
              <w:rPr>
                <w:sz w:val="28"/>
              </w:rPr>
            </w:pPr>
            <w:r>
              <w:rPr>
                <w:color w:val="1F3863"/>
                <w:sz w:val="28"/>
              </w:rPr>
              <w:t>years</w:t>
            </w:r>
          </w:p>
          <w:p w14:paraId="660B2CA8" w14:textId="77777777" w:rsidR="00014402" w:rsidRDefault="000A5B6B">
            <w:pPr>
              <w:pStyle w:val="TableParagraph"/>
              <w:ind w:left="316" w:right="48"/>
              <w:rPr>
                <w:sz w:val="24"/>
              </w:rPr>
            </w:pPr>
            <w:r>
              <w:rPr>
                <w:sz w:val="24"/>
              </w:rPr>
              <w:t>Because IGRA has increased specificity for 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infection in children vaccinated with BCG, IGRA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preferred over the TST for non-US-born children ≥2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years of age. In BCG vaccinated immunocompetent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with a positive TST, it may be appropriate to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positive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IGRA.</w:t>
            </w:r>
          </w:p>
          <w:p w14:paraId="55BD14A1" w14:textId="77777777" w:rsidR="00014402" w:rsidRDefault="00014402">
            <w:pPr>
              <w:pStyle w:val="TableParagraph"/>
              <w:spacing w:before="1"/>
              <w:rPr>
                <w:i/>
                <w:sz w:val="24"/>
              </w:rPr>
            </w:pPr>
          </w:p>
          <w:p w14:paraId="51CD3808" w14:textId="77777777" w:rsidR="00014402" w:rsidRDefault="000A5B6B">
            <w:pPr>
              <w:pStyle w:val="TableParagraph"/>
              <w:spacing w:line="341" w:lineRule="exact"/>
              <w:ind w:left="316"/>
              <w:rPr>
                <w:sz w:val="28"/>
              </w:rPr>
            </w:pPr>
            <w:r>
              <w:rPr>
                <w:color w:val="1F3863"/>
                <w:sz w:val="28"/>
              </w:rPr>
              <w:t>Foreign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travel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or</w:t>
            </w:r>
            <w:r>
              <w:rPr>
                <w:color w:val="1F3863"/>
                <w:spacing w:val="-4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residence</w:t>
            </w:r>
          </w:p>
          <w:p w14:paraId="48EB790D" w14:textId="77777777" w:rsidR="00014402" w:rsidRDefault="000A5B6B">
            <w:pPr>
              <w:pStyle w:val="TableParagraph"/>
              <w:ind w:left="316" w:right="95"/>
              <w:rPr>
                <w:sz w:val="24"/>
              </w:rPr>
            </w:pPr>
            <w:r>
              <w:rPr>
                <w:sz w:val="24"/>
              </w:rPr>
              <w:t>Travel or residence in countries with an elevated TB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rate may be a risk for TB exposure in certain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circumstances (e.g., extended duration, likely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 with persons with infectious TB, 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prevalence of TB in travel location,</w:t>
            </w:r>
            <w:r>
              <w:rPr>
                <w:sz w:val="24"/>
              </w:rPr>
              <w:t xml:space="preserve"> non-tourist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travel).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consecutive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month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to trigger testing is intended to identify travel most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likely to involve TB exposure. TB screening tests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falsely negative within the 8 weeks after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exposure,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 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we</w:t>
            </w:r>
            <w:r>
              <w:rPr>
                <w:sz w:val="24"/>
              </w:rPr>
              <w:t>eks after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0C8FC204" w14:textId="77777777" w:rsidR="00014402" w:rsidRDefault="000A5B6B">
            <w:pPr>
              <w:pStyle w:val="TableParagraph"/>
              <w:spacing w:before="1"/>
              <w:ind w:left="316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return.</w:t>
            </w:r>
          </w:p>
          <w:p w14:paraId="0212C236" w14:textId="77777777" w:rsidR="00014402" w:rsidRDefault="00014402">
            <w:pPr>
              <w:pStyle w:val="TableParagraph"/>
              <w:spacing w:before="12"/>
              <w:rPr>
                <w:i/>
                <w:sz w:val="23"/>
              </w:rPr>
            </w:pPr>
          </w:p>
          <w:p w14:paraId="24B15248" w14:textId="77777777" w:rsidR="00014402" w:rsidRDefault="000A5B6B">
            <w:pPr>
              <w:pStyle w:val="TableParagraph"/>
              <w:ind w:left="316" w:right="32"/>
              <w:rPr>
                <w:sz w:val="28"/>
              </w:rPr>
            </w:pPr>
            <w:r>
              <w:rPr>
                <w:color w:val="1F3863"/>
                <w:sz w:val="28"/>
              </w:rPr>
              <w:t>A negative TB test does not rule out active TB</w:t>
            </w:r>
            <w:r>
              <w:rPr>
                <w:color w:val="1F3863"/>
                <w:spacing w:val="-6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disease</w:t>
            </w:r>
          </w:p>
          <w:p w14:paraId="41AE64A2" w14:textId="77777777" w:rsidR="00014402" w:rsidRDefault="000A5B6B">
            <w:pPr>
              <w:pStyle w:val="TableParagraph"/>
              <w:ind w:left="316" w:right="278"/>
              <w:rPr>
                <w:sz w:val="24"/>
              </w:rPr>
            </w:pPr>
            <w:r>
              <w:rPr>
                <w:sz w:val="24"/>
              </w:rPr>
              <w:t>A negative TST or IGRA result does not rule 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 TB disease. A negative TST or IGRA in a child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with active TB disease can be a sign of extensive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disease.</w:t>
            </w:r>
          </w:p>
          <w:p w14:paraId="5A57687A" w14:textId="77777777" w:rsidR="00014402" w:rsidRDefault="00014402">
            <w:pPr>
              <w:pStyle w:val="TableParagraph"/>
              <w:spacing w:before="11"/>
              <w:rPr>
                <w:i/>
                <w:sz w:val="23"/>
              </w:rPr>
            </w:pPr>
          </w:p>
          <w:p w14:paraId="664FF10D" w14:textId="77777777" w:rsidR="00014402" w:rsidRDefault="000A5B6B">
            <w:pPr>
              <w:pStyle w:val="TableParagraph"/>
              <w:spacing w:before="1"/>
              <w:ind w:left="316"/>
              <w:rPr>
                <w:sz w:val="28"/>
              </w:rPr>
            </w:pPr>
            <w:r>
              <w:rPr>
                <w:color w:val="1F3863"/>
                <w:sz w:val="28"/>
              </w:rPr>
              <w:t>Evaluation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for</w:t>
            </w:r>
            <w:r>
              <w:rPr>
                <w:color w:val="1F3863"/>
                <w:spacing w:val="-3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active TB</w:t>
            </w:r>
            <w:r>
              <w:rPr>
                <w:color w:val="1F3863"/>
                <w:spacing w:val="-1"/>
                <w:sz w:val="28"/>
              </w:rPr>
              <w:t xml:space="preserve"> </w:t>
            </w:r>
            <w:r>
              <w:rPr>
                <w:color w:val="1F3863"/>
                <w:sz w:val="28"/>
              </w:rPr>
              <w:t>disease</w:t>
            </w:r>
          </w:p>
          <w:p w14:paraId="362AE8A1" w14:textId="77777777" w:rsidR="00014402" w:rsidRDefault="000A5B6B">
            <w:pPr>
              <w:pStyle w:val="TableParagraph"/>
              <w:spacing w:before="1"/>
              <w:ind w:left="316" w:right="62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symptoms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otherwise unexplained should be evaluated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active TB disease: cough for more than 2-3 weeks,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fevers, night </w:t>
            </w:r>
            <w:r>
              <w:rPr>
                <w:sz w:val="24"/>
              </w:rPr>
              <w:t>sweats, weight loss and hemoptysis.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Evaluate for active TB disease with a CXR, symptom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screen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indicated,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sputum AFB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smears,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cultures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NAAT.</w:t>
            </w:r>
          </w:p>
          <w:p w14:paraId="3D71F22B" w14:textId="77777777" w:rsidR="000A5B6B" w:rsidRPr="000A5B6B" w:rsidRDefault="000A5B6B" w:rsidP="000A5B6B"/>
          <w:p w14:paraId="397AEC04" w14:textId="77777777" w:rsidR="000A5B6B" w:rsidRPr="000A5B6B" w:rsidRDefault="000A5B6B" w:rsidP="000A5B6B"/>
          <w:p w14:paraId="403CEFD3" w14:textId="77777777" w:rsidR="000A5B6B" w:rsidRPr="000A5B6B" w:rsidRDefault="000A5B6B" w:rsidP="000A5B6B"/>
          <w:p w14:paraId="52B24350" w14:textId="77777777" w:rsidR="000A5B6B" w:rsidRDefault="000A5B6B" w:rsidP="000A5B6B">
            <w:pPr>
              <w:rPr>
                <w:sz w:val="24"/>
              </w:rPr>
            </w:pPr>
          </w:p>
          <w:p w14:paraId="23DF6CAC" w14:textId="7CC95441" w:rsidR="000A5B6B" w:rsidRPr="000A5B6B" w:rsidRDefault="000A5B6B" w:rsidP="000A5B6B"/>
        </w:tc>
      </w:tr>
    </w:tbl>
    <w:p w14:paraId="5FE4A90E" w14:textId="77777777" w:rsidR="00014402" w:rsidRDefault="00014402">
      <w:pPr>
        <w:rPr>
          <w:sz w:val="24"/>
        </w:rPr>
        <w:sectPr w:rsidR="00014402">
          <w:headerReference w:type="default" r:id="rId15"/>
          <w:footerReference w:type="default" r:id="rId16"/>
          <w:pgSz w:w="12240" w:h="15840"/>
          <w:pgMar w:top="1840" w:right="580" w:bottom="760" w:left="560" w:header="474" w:footer="576" w:gutter="0"/>
          <w:pgNumType w:start="2"/>
          <w:cols w:space="720"/>
        </w:sectPr>
      </w:pPr>
    </w:p>
    <w:p w14:paraId="62365F1E" w14:textId="77777777" w:rsidR="00014402" w:rsidRDefault="00014402">
      <w:pPr>
        <w:pStyle w:val="BodyText"/>
        <w:rPr>
          <w:i/>
          <w:sz w:val="20"/>
        </w:rPr>
      </w:pPr>
    </w:p>
    <w:p w14:paraId="5AEBE45A" w14:textId="77777777" w:rsidR="00014402" w:rsidRDefault="00014402">
      <w:pPr>
        <w:pStyle w:val="BodyText"/>
        <w:rPr>
          <w:i/>
          <w:sz w:val="16"/>
        </w:rPr>
      </w:pPr>
    </w:p>
    <w:p w14:paraId="26A44476" w14:textId="77777777" w:rsidR="00014402" w:rsidRDefault="00014402">
      <w:pPr>
        <w:rPr>
          <w:sz w:val="16"/>
        </w:rPr>
        <w:sectPr w:rsidR="00014402">
          <w:pgSz w:w="12240" w:h="15840"/>
          <w:pgMar w:top="1840" w:right="580" w:bottom="760" w:left="560" w:header="474" w:footer="576" w:gutter="0"/>
          <w:cols w:space="720"/>
        </w:sectPr>
      </w:pPr>
    </w:p>
    <w:p w14:paraId="06E32EB3" w14:textId="77777777" w:rsidR="00014402" w:rsidRDefault="000A5B6B">
      <w:pPr>
        <w:pStyle w:val="Heading1"/>
        <w:spacing w:before="44"/>
      </w:pPr>
      <w:r>
        <w:rPr>
          <w:color w:val="1F3863"/>
        </w:rPr>
        <w:t>LTBI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treatment</w:t>
      </w:r>
    </w:p>
    <w:p w14:paraId="5483359C" w14:textId="77777777" w:rsidR="00014402" w:rsidRDefault="000A5B6B">
      <w:pPr>
        <w:pStyle w:val="BodyText"/>
        <w:ind w:left="152" w:right="100"/>
      </w:pPr>
      <w:r>
        <w:t>Children with LTBI and risk factors for progression to</w:t>
      </w:r>
      <w:r>
        <w:rPr>
          <w:spacing w:val="-52"/>
        </w:rPr>
        <w:t xml:space="preserve"> </w:t>
      </w:r>
      <w:r>
        <w:t>active TB disease should be treated for LTBI, once</w:t>
      </w:r>
      <w:r>
        <w:rPr>
          <w:spacing w:val="1"/>
        </w:rPr>
        <w:t xml:space="preserve"> </w:t>
      </w:r>
      <w:r>
        <w:t>active</w:t>
      </w:r>
      <w:r>
        <w:rPr>
          <w:spacing w:val="-2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disease</w:t>
      </w:r>
      <w:r>
        <w:rPr>
          <w:spacing w:val="-1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 ruled</w:t>
      </w:r>
      <w:r>
        <w:rPr>
          <w:spacing w:val="-1"/>
        </w:rPr>
        <w:t xml:space="preserve"> </w:t>
      </w:r>
      <w:r>
        <w:t>out.</w:t>
      </w:r>
    </w:p>
    <w:p w14:paraId="48AC7E6F" w14:textId="77777777" w:rsidR="00014402" w:rsidRDefault="00014402">
      <w:pPr>
        <w:pStyle w:val="BodyText"/>
        <w:spacing w:before="1"/>
      </w:pPr>
    </w:p>
    <w:p w14:paraId="1C7B3D38" w14:textId="77777777" w:rsidR="00014402" w:rsidRDefault="000A5B6B">
      <w:pPr>
        <w:pStyle w:val="BodyText"/>
        <w:ind w:left="152" w:right="66"/>
      </w:pPr>
      <w:r>
        <w:t>Shorter</w:t>
      </w:r>
      <w:r>
        <w:rPr>
          <w:spacing w:val="-2"/>
        </w:rPr>
        <w:t xml:space="preserve"> </w:t>
      </w:r>
      <w:r>
        <w:t>regimens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treating</w:t>
      </w:r>
      <w:r>
        <w:rPr>
          <w:spacing w:val="1"/>
        </w:rPr>
        <w:t xml:space="preserve"> </w:t>
      </w:r>
      <w:r>
        <w:t>latent</w:t>
      </w:r>
      <w:r>
        <w:rPr>
          <w:spacing w:val="1"/>
        </w:rPr>
        <w:t xml:space="preserve"> </w:t>
      </w:r>
      <w:r>
        <w:t>TB</w:t>
      </w:r>
      <w:r>
        <w:rPr>
          <w:spacing w:val="1"/>
        </w:rPr>
        <w:t xml:space="preserve"> </w:t>
      </w:r>
      <w:r>
        <w:t>infection</w:t>
      </w:r>
      <w:r>
        <w:rPr>
          <w:spacing w:val="1"/>
        </w:rPr>
        <w:t xml:space="preserve"> </w:t>
      </w:r>
      <w:r>
        <w:t>have been shown to be as effective as 9 months of</w:t>
      </w:r>
      <w:r>
        <w:rPr>
          <w:spacing w:val="1"/>
        </w:rPr>
        <w:t xml:space="preserve"> </w:t>
      </w:r>
      <w:r>
        <w:t>isoniazid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completed.</w:t>
      </w:r>
      <w:r>
        <w:rPr>
          <w:spacing w:val="-2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of</w:t>
      </w:r>
      <w:r>
        <w:rPr>
          <w:spacing w:val="-51"/>
        </w:rPr>
        <w:t xml:space="preserve"> </w:t>
      </w:r>
      <w:r>
        <w:t>these shorter regimens is preferred in most patients,</w:t>
      </w:r>
      <w:r>
        <w:rPr>
          <w:spacing w:val="-52"/>
        </w:rPr>
        <w:t xml:space="preserve"> </w:t>
      </w:r>
      <w:r>
        <w:t>although the 12-week regimen is not recommended</w:t>
      </w:r>
      <w:r>
        <w:rPr>
          <w:spacing w:val="1"/>
        </w:rPr>
        <w:t xml:space="preserve"> </w:t>
      </w:r>
      <w:r>
        <w:t>for children &lt;2 years of age or children on</w:t>
      </w:r>
      <w:r>
        <w:rPr>
          <w:spacing w:val="1"/>
        </w:rPr>
        <w:t xml:space="preserve"> </w:t>
      </w:r>
      <w:r>
        <w:t>antiretroviral medications. Drug-drug interactions</w:t>
      </w:r>
      <w:r>
        <w:rPr>
          <w:spacing w:val="1"/>
        </w:rPr>
        <w:t xml:space="preserve"> </w:t>
      </w:r>
      <w:r>
        <w:t>and contact to drug resistant TB are other contra-</w:t>
      </w:r>
      <w:r>
        <w:rPr>
          <w:spacing w:val="1"/>
        </w:rPr>
        <w:t xml:space="preserve"> </w:t>
      </w:r>
      <w:r>
        <w:t>indicati</w:t>
      </w:r>
      <w:r>
        <w:t>ons for</w:t>
      </w:r>
      <w:r>
        <w:rPr>
          <w:spacing w:val="-1"/>
        </w:rPr>
        <w:t xml:space="preserve"> </w:t>
      </w:r>
      <w:r>
        <w:t>shorter</w:t>
      </w:r>
      <w:r>
        <w:rPr>
          <w:spacing w:val="-2"/>
        </w:rPr>
        <w:t xml:space="preserve"> </w:t>
      </w:r>
      <w:r>
        <w:t>regimens.</w:t>
      </w:r>
    </w:p>
    <w:p w14:paraId="3EE85F77" w14:textId="77777777" w:rsidR="00014402" w:rsidRDefault="00014402">
      <w:pPr>
        <w:pStyle w:val="BodyText"/>
      </w:pPr>
    </w:p>
    <w:p w14:paraId="73A33510" w14:textId="77777777" w:rsidR="00014402" w:rsidRDefault="00014402">
      <w:pPr>
        <w:pStyle w:val="BodyText"/>
        <w:spacing w:before="11"/>
        <w:rPr>
          <w:sz w:val="23"/>
        </w:rPr>
      </w:pPr>
    </w:p>
    <w:p w14:paraId="5737A909" w14:textId="77777777" w:rsidR="00014402" w:rsidRDefault="000A5B6B">
      <w:pPr>
        <w:pStyle w:val="Heading1"/>
        <w:spacing w:line="240" w:lineRule="auto"/>
      </w:pPr>
      <w:r>
        <w:rPr>
          <w:color w:val="1F3863"/>
        </w:rPr>
        <w:t>CDC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Recommended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LTBI</w:t>
      </w:r>
      <w:r>
        <w:rPr>
          <w:color w:val="1F3863"/>
          <w:spacing w:val="-4"/>
        </w:rPr>
        <w:t xml:space="preserve"> </w:t>
      </w:r>
      <w:r>
        <w:rPr>
          <w:color w:val="1F3863"/>
        </w:rPr>
        <w:t>treatment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regimens</w:t>
      </w:r>
    </w:p>
    <w:tbl>
      <w:tblPr>
        <w:tblW w:w="0" w:type="auto"/>
        <w:tblInd w:w="160" w:type="dxa"/>
        <w:tblBorders>
          <w:top w:val="single" w:sz="18" w:space="0" w:color="1F3863"/>
          <w:left w:val="single" w:sz="18" w:space="0" w:color="1F3863"/>
          <w:bottom w:val="single" w:sz="18" w:space="0" w:color="1F3863"/>
          <w:right w:val="single" w:sz="18" w:space="0" w:color="1F3863"/>
          <w:insideH w:val="single" w:sz="18" w:space="0" w:color="1F3863"/>
          <w:insideV w:val="single" w:sz="18" w:space="0" w:color="1F38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2"/>
        <w:gridCol w:w="1278"/>
        <w:gridCol w:w="1436"/>
        <w:gridCol w:w="1069"/>
      </w:tblGrid>
      <w:tr w:rsidR="00014402" w14:paraId="334B40EC" w14:textId="77777777">
        <w:trPr>
          <w:trHeight w:val="443"/>
        </w:trPr>
        <w:tc>
          <w:tcPr>
            <w:tcW w:w="1352" w:type="dxa"/>
            <w:tcBorders>
              <w:top w:val="nil"/>
              <w:left w:val="nil"/>
            </w:tcBorders>
            <w:shd w:val="clear" w:color="auto" w:fill="F1F1F1"/>
          </w:tcPr>
          <w:p w14:paraId="0D5CB2C9" w14:textId="77777777" w:rsidR="00014402" w:rsidRDefault="000A5B6B">
            <w:pPr>
              <w:pStyle w:val="TableParagraph"/>
              <w:spacing w:before="74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Medication</w:t>
            </w:r>
          </w:p>
        </w:tc>
        <w:tc>
          <w:tcPr>
            <w:tcW w:w="1278" w:type="dxa"/>
            <w:tcBorders>
              <w:top w:val="nil"/>
            </w:tcBorders>
            <w:shd w:val="clear" w:color="auto" w:fill="F1F1F1"/>
          </w:tcPr>
          <w:p w14:paraId="38438DCE" w14:textId="77777777" w:rsidR="00014402" w:rsidRDefault="000A5B6B">
            <w:pPr>
              <w:pStyle w:val="TableParagraph"/>
              <w:spacing w:before="74"/>
              <w:ind w:left="89" w:right="91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436" w:type="dxa"/>
            <w:tcBorders>
              <w:top w:val="nil"/>
            </w:tcBorders>
            <w:shd w:val="clear" w:color="auto" w:fill="F1F1F1"/>
          </w:tcPr>
          <w:p w14:paraId="12A3E7F0" w14:textId="77777777" w:rsidR="00014402" w:rsidRDefault="000A5B6B">
            <w:pPr>
              <w:pStyle w:val="TableParagraph"/>
              <w:spacing w:before="74"/>
              <w:ind w:left="269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</w:tc>
        <w:tc>
          <w:tcPr>
            <w:tcW w:w="1069" w:type="dxa"/>
            <w:tcBorders>
              <w:top w:val="nil"/>
              <w:right w:val="nil"/>
            </w:tcBorders>
            <w:shd w:val="clear" w:color="auto" w:fill="F1F1F1"/>
          </w:tcPr>
          <w:p w14:paraId="35059C55" w14:textId="77777777" w:rsidR="00014402" w:rsidRDefault="000A5B6B">
            <w:pPr>
              <w:pStyle w:val="TableParagraph"/>
              <w:spacing w:before="74"/>
              <w:ind w:left="220"/>
              <w:rPr>
                <w:sz w:val="24"/>
              </w:rPr>
            </w:pPr>
            <w:r>
              <w:rPr>
                <w:sz w:val="24"/>
              </w:rPr>
              <w:t>Doses</w:t>
            </w:r>
          </w:p>
        </w:tc>
      </w:tr>
      <w:tr w:rsidR="00014402" w14:paraId="668193AB" w14:textId="77777777">
        <w:trPr>
          <w:trHeight w:val="692"/>
        </w:trPr>
        <w:tc>
          <w:tcPr>
            <w:tcW w:w="1352" w:type="dxa"/>
            <w:tcBorders>
              <w:left w:val="nil"/>
            </w:tcBorders>
          </w:tcPr>
          <w:p w14:paraId="6906619E" w14:textId="77777777" w:rsidR="00014402" w:rsidRDefault="000A5B6B">
            <w:pPr>
              <w:pStyle w:val="TableParagraph"/>
              <w:spacing w:before="53"/>
              <w:ind w:left="97" w:firstLine="28"/>
              <w:rPr>
                <w:sz w:val="24"/>
              </w:rPr>
            </w:pPr>
            <w:r>
              <w:rPr>
                <w:sz w:val="24"/>
              </w:rPr>
              <w:t>Isoniazid &amp;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Rifapentine</w:t>
            </w:r>
          </w:p>
        </w:tc>
        <w:tc>
          <w:tcPr>
            <w:tcW w:w="1278" w:type="dxa"/>
          </w:tcPr>
          <w:p w14:paraId="34DBD9F8" w14:textId="77777777" w:rsidR="00014402" w:rsidRDefault="000A5B6B">
            <w:pPr>
              <w:pStyle w:val="TableParagraph"/>
              <w:spacing w:before="200"/>
              <w:ind w:left="87" w:right="91"/>
              <w:jc w:val="center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436" w:type="dxa"/>
          </w:tcPr>
          <w:p w14:paraId="7145C453" w14:textId="77777777" w:rsidR="00014402" w:rsidRDefault="000A5B6B">
            <w:pPr>
              <w:pStyle w:val="TableParagraph"/>
              <w:spacing w:before="200"/>
              <w:ind w:left="242"/>
              <w:rPr>
                <w:sz w:val="24"/>
              </w:rPr>
            </w:pPr>
            <w:r>
              <w:rPr>
                <w:sz w:val="24"/>
              </w:rPr>
              <w:t>12 weeks</w:t>
            </w:r>
          </w:p>
        </w:tc>
        <w:tc>
          <w:tcPr>
            <w:tcW w:w="1069" w:type="dxa"/>
            <w:tcBorders>
              <w:right w:val="nil"/>
            </w:tcBorders>
          </w:tcPr>
          <w:p w14:paraId="1C899E10" w14:textId="77777777" w:rsidR="00014402" w:rsidRDefault="000A5B6B">
            <w:pPr>
              <w:pStyle w:val="TableParagraph"/>
              <w:spacing w:before="200"/>
              <w:ind w:left="328"/>
              <w:rPr>
                <w:sz w:val="24"/>
              </w:rPr>
            </w:pPr>
            <w:r>
              <w:rPr>
                <w:sz w:val="24"/>
              </w:rPr>
              <w:t>12*</w:t>
            </w:r>
          </w:p>
        </w:tc>
      </w:tr>
      <w:tr w:rsidR="00014402" w14:paraId="17AC4688" w14:textId="77777777">
        <w:trPr>
          <w:trHeight w:val="586"/>
        </w:trPr>
        <w:tc>
          <w:tcPr>
            <w:tcW w:w="1352" w:type="dxa"/>
            <w:tcBorders>
              <w:left w:val="nil"/>
            </w:tcBorders>
          </w:tcPr>
          <w:p w14:paraId="140AE862" w14:textId="77777777" w:rsidR="00014402" w:rsidRDefault="000A5B6B">
            <w:pPr>
              <w:pStyle w:val="TableParagraph"/>
              <w:spacing w:before="147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Rifampin</w:t>
            </w:r>
          </w:p>
        </w:tc>
        <w:tc>
          <w:tcPr>
            <w:tcW w:w="1278" w:type="dxa"/>
          </w:tcPr>
          <w:p w14:paraId="0181A23D" w14:textId="77777777" w:rsidR="00014402" w:rsidRDefault="000A5B6B">
            <w:pPr>
              <w:pStyle w:val="TableParagraph"/>
              <w:spacing w:before="147"/>
              <w:ind w:left="89" w:right="89"/>
              <w:jc w:val="center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436" w:type="dxa"/>
          </w:tcPr>
          <w:p w14:paraId="6539BF32" w14:textId="77777777" w:rsidR="00014402" w:rsidRDefault="000A5B6B">
            <w:pPr>
              <w:pStyle w:val="TableParagraph"/>
              <w:spacing w:before="147"/>
              <w:ind w:left="238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1069" w:type="dxa"/>
            <w:tcBorders>
              <w:right w:val="nil"/>
            </w:tcBorders>
          </w:tcPr>
          <w:p w14:paraId="7368D47A" w14:textId="77777777" w:rsidR="00014402" w:rsidRDefault="000A5B6B">
            <w:pPr>
              <w:pStyle w:val="TableParagraph"/>
              <w:spacing w:before="147"/>
              <w:ind w:left="326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014402" w14:paraId="3FD123EA" w14:textId="77777777">
        <w:trPr>
          <w:trHeight w:val="675"/>
        </w:trPr>
        <w:tc>
          <w:tcPr>
            <w:tcW w:w="1352" w:type="dxa"/>
            <w:tcBorders>
              <w:left w:val="nil"/>
              <w:bottom w:val="nil"/>
            </w:tcBorders>
          </w:tcPr>
          <w:p w14:paraId="471A8CC6" w14:textId="77777777" w:rsidR="00014402" w:rsidRDefault="000A5B6B">
            <w:pPr>
              <w:pStyle w:val="TableParagraph"/>
              <w:spacing w:before="190"/>
              <w:ind w:left="93" w:right="96"/>
              <w:jc w:val="center"/>
              <w:rPr>
                <w:sz w:val="24"/>
              </w:rPr>
            </w:pPr>
            <w:r>
              <w:rPr>
                <w:sz w:val="24"/>
              </w:rPr>
              <w:t>Isoniazid</w:t>
            </w:r>
          </w:p>
        </w:tc>
        <w:tc>
          <w:tcPr>
            <w:tcW w:w="1278" w:type="dxa"/>
            <w:tcBorders>
              <w:bottom w:val="nil"/>
            </w:tcBorders>
          </w:tcPr>
          <w:p w14:paraId="609758B3" w14:textId="77777777" w:rsidR="00014402" w:rsidRDefault="000A5B6B">
            <w:pPr>
              <w:pStyle w:val="TableParagraph"/>
              <w:spacing w:before="44"/>
              <w:ind w:left="142" w:right="138" w:firstLine="105"/>
              <w:rPr>
                <w:sz w:val="24"/>
              </w:rPr>
            </w:pPr>
            <w:r>
              <w:rPr>
                <w:sz w:val="24"/>
              </w:rPr>
              <w:t>Daily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weekly</w:t>
            </w:r>
          </w:p>
        </w:tc>
        <w:tc>
          <w:tcPr>
            <w:tcW w:w="1436" w:type="dxa"/>
            <w:tcBorders>
              <w:bottom w:val="nil"/>
            </w:tcBorders>
          </w:tcPr>
          <w:p w14:paraId="2932C3E3" w14:textId="77777777" w:rsidR="00014402" w:rsidRDefault="000A5B6B">
            <w:pPr>
              <w:pStyle w:val="TableParagraph"/>
              <w:spacing w:before="190"/>
              <w:ind w:left="30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months</w:t>
            </w:r>
          </w:p>
        </w:tc>
        <w:tc>
          <w:tcPr>
            <w:tcW w:w="1069" w:type="dxa"/>
            <w:tcBorders>
              <w:bottom w:val="nil"/>
              <w:right w:val="nil"/>
            </w:tcBorders>
          </w:tcPr>
          <w:p w14:paraId="1B91B4C8" w14:textId="77777777" w:rsidR="00014402" w:rsidRDefault="000A5B6B">
            <w:pPr>
              <w:pStyle w:val="TableParagraph"/>
              <w:spacing w:before="190"/>
              <w:ind w:left="234"/>
              <w:rPr>
                <w:sz w:val="24"/>
              </w:rPr>
            </w:pPr>
            <w:r>
              <w:rPr>
                <w:sz w:val="24"/>
              </w:rPr>
              <w:t>76-270</w:t>
            </w:r>
          </w:p>
        </w:tc>
      </w:tr>
    </w:tbl>
    <w:p w14:paraId="555B97E1" w14:textId="77777777" w:rsidR="00014402" w:rsidRDefault="000A5B6B">
      <w:pPr>
        <w:spacing w:before="86"/>
        <w:ind w:left="529"/>
        <w:rPr>
          <w:i/>
          <w:sz w:val="20"/>
        </w:rPr>
      </w:pPr>
      <w:r>
        <w:rPr>
          <w:i/>
          <w:sz w:val="20"/>
        </w:rPr>
        <w:t>*11-12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doses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16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weeks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required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completion</w:t>
      </w:r>
    </w:p>
    <w:p w14:paraId="35DE84B5" w14:textId="77777777" w:rsidR="00014402" w:rsidRDefault="00014402">
      <w:pPr>
        <w:pStyle w:val="BodyText"/>
        <w:rPr>
          <w:i/>
          <w:sz w:val="20"/>
        </w:rPr>
      </w:pPr>
    </w:p>
    <w:p w14:paraId="3495D1CC" w14:textId="77777777" w:rsidR="00014402" w:rsidRDefault="00014402">
      <w:pPr>
        <w:pStyle w:val="BodyText"/>
        <w:spacing w:before="2"/>
        <w:rPr>
          <w:i/>
          <w:sz w:val="25"/>
        </w:rPr>
      </w:pPr>
    </w:p>
    <w:p w14:paraId="729E41DE" w14:textId="77777777" w:rsidR="00014402" w:rsidRDefault="000A5B6B">
      <w:pPr>
        <w:pStyle w:val="BodyText"/>
        <w:ind w:left="152" w:right="51"/>
      </w:pPr>
      <w:r>
        <w:rPr>
          <w:color w:val="1F3863"/>
          <w:sz w:val="28"/>
        </w:rPr>
        <w:t>Refusal of recommended LTBI treatment</w:t>
      </w:r>
      <w:r>
        <w:rPr>
          <w:color w:val="1F3863"/>
          <w:spacing w:val="1"/>
          <w:sz w:val="28"/>
        </w:rPr>
        <w:t xml:space="preserve"> </w:t>
      </w:r>
      <w:r>
        <w:t>Refusal should be documented. Recommendations</w:t>
      </w:r>
      <w:r>
        <w:rPr>
          <w:spacing w:val="1"/>
        </w:rPr>
        <w:t xml:space="preserve"> </w:t>
      </w:r>
      <w:r>
        <w:t>for treatment should be made at future encounters</w:t>
      </w:r>
      <w:r>
        <w:rPr>
          <w:spacing w:val="1"/>
        </w:rPr>
        <w:t xml:space="preserve"> </w:t>
      </w:r>
      <w:r>
        <w:t>with medical services. If treatment is later accepted,</w:t>
      </w:r>
      <w:r>
        <w:rPr>
          <w:spacing w:val="1"/>
        </w:rPr>
        <w:t xml:space="preserve"> </w:t>
      </w:r>
      <w:r>
        <w:t>TB disease should be excluded, and chest x-ray</w:t>
      </w:r>
      <w:r>
        <w:rPr>
          <w:spacing w:val="1"/>
        </w:rPr>
        <w:t xml:space="preserve"> </w:t>
      </w:r>
      <w:r>
        <w:t>repeated if it has been more than 6 months from the</w:t>
      </w:r>
      <w:r>
        <w:rPr>
          <w:spacing w:val="-52"/>
        </w:rPr>
        <w:t xml:space="preserve"> </w:t>
      </w:r>
      <w:r>
        <w:t xml:space="preserve">initial evaluation for children </w:t>
      </w:r>
      <w:r>
        <w:rPr>
          <w:u w:val="single"/>
        </w:rPr>
        <w:t>&gt;</w:t>
      </w:r>
      <w:r>
        <w:t>5 years and 3 months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children &lt;5</w:t>
      </w:r>
      <w:r>
        <w:rPr>
          <w:spacing w:val="1"/>
        </w:rPr>
        <w:t xml:space="preserve"> </w:t>
      </w:r>
      <w:r>
        <w:t>years of age.</w:t>
      </w:r>
    </w:p>
    <w:p w14:paraId="3C51DBC8" w14:textId="77777777" w:rsidR="00014402" w:rsidRDefault="000A5B6B">
      <w:pPr>
        <w:pStyle w:val="Heading1"/>
        <w:spacing w:before="44"/>
      </w:pPr>
      <w:r>
        <w:br w:type="column"/>
      </w:r>
      <w:r>
        <w:rPr>
          <w:color w:val="1F3863"/>
        </w:rPr>
        <w:t>Resources</w:t>
      </w:r>
      <w:r>
        <w:rPr>
          <w:color w:val="1F3863"/>
          <w:spacing w:val="-8"/>
        </w:rPr>
        <w:t xml:space="preserve"> </w:t>
      </w:r>
      <w:r>
        <w:rPr>
          <w:color w:val="1F3863"/>
        </w:rPr>
        <w:t>&amp;</w:t>
      </w:r>
      <w:r>
        <w:rPr>
          <w:color w:val="1F3863"/>
          <w:spacing w:val="-7"/>
        </w:rPr>
        <w:t xml:space="preserve"> </w:t>
      </w:r>
      <w:r>
        <w:rPr>
          <w:color w:val="1F3863"/>
        </w:rPr>
        <w:t>References</w:t>
      </w:r>
    </w:p>
    <w:p w14:paraId="2B69647E" w14:textId="77777777" w:rsidR="00014402" w:rsidRDefault="000A5B6B">
      <w:pPr>
        <w:pStyle w:val="ListParagraph"/>
        <w:numPr>
          <w:ilvl w:val="0"/>
          <w:numId w:val="1"/>
        </w:numPr>
        <w:tabs>
          <w:tab w:val="left" w:pos="484"/>
        </w:tabs>
        <w:ind w:left="483" w:right="189"/>
        <w:rPr>
          <w:sz w:val="24"/>
        </w:rPr>
      </w:pPr>
      <w:r>
        <w:rPr>
          <w:sz w:val="24"/>
        </w:rPr>
        <w:t>Treatment regimens for LTBI available on the</w:t>
      </w:r>
      <w:r>
        <w:rPr>
          <w:spacing w:val="1"/>
          <w:sz w:val="24"/>
        </w:rPr>
        <w:t xml:space="preserve"> </w:t>
      </w:r>
      <w:r>
        <w:rPr>
          <w:sz w:val="24"/>
        </w:rPr>
        <w:t>CDC LTBI Resources website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7">
        <w:r>
          <w:rPr>
            <w:color w:val="0462C1"/>
            <w:spacing w:val="-1"/>
            <w:sz w:val="24"/>
            <w:u w:val="single" w:color="0462C1"/>
          </w:rPr>
          <w:t>https://www.cdc.gov/tb/publications/ltbi/ltbires</w:t>
        </w:r>
      </w:hyperlink>
      <w:r>
        <w:rPr>
          <w:color w:val="0462C1"/>
          <w:spacing w:val="-52"/>
          <w:sz w:val="24"/>
        </w:rPr>
        <w:t xml:space="preserve"> </w:t>
      </w:r>
      <w:hyperlink r:id="rId18">
        <w:r>
          <w:rPr>
            <w:color w:val="0462C1"/>
            <w:sz w:val="24"/>
            <w:u w:val="single" w:color="0462C1"/>
          </w:rPr>
          <w:t>ources.htm</w:t>
        </w:r>
      </w:hyperlink>
      <w:r>
        <w:rPr>
          <w:sz w:val="24"/>
        </w:rPr>
        <w:t>)</w:t>
      </w:r>
    </w:p>
    <w:p w14:paraId="054111A4" w14:textId="77777777" w:rsidR="00014402" w:rsidRDefault="000A5B6B">
      <w:pPr>
        <w:pStyle w:val="ListParagraph"/>
        <w:numPr>
          <w:ilvl w:val="0"/>
          <w:numId w:val="1"/>
        </w:numPr>
        <w:tabs>
          <w:tab w:val="left" w:pos="484"/>
        </w:tabs>
        <w:ind w:left="483"/>
        <w:rPr>
          <w:sz w:val="24"/>
        </w:rPr>
      </w:pPr>
      <w:r>
        <w:rPr>
          <w:sz w:val="24"/>
        </w:rPr>
        <w:t>American Academy of Pediatrics, Red Book</w:t>
      </w:r>
      <w:r>
        <w:rPr>
          <w:spacing w:val="1"/>
          <w:sz w:val="24"/>
        </w:rPr>
        <w:t xml:space="preserve"> </w:t>
      </w:r>
      <w:r>
        <w:rPr>
          <w:sz w:val="24"/>
        </w:rPr>
        <w:t>Online, Tuberculosis is available on the Red Book</w:t>
      </w:r>
      <w:r>
        <w:rPr>
          <w:spacing w:val="1"/>
          <w:sz w:val="24"/>
        </w:rPr>
        <w:t xml:space="preserve"> </w:t>
      </w:r>
      <w:r>
        <w:rPr>
          <w:sz w:val="24"/>
        </w:rPr>
        <w:t>Online website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19">
        <w:r>
          <w:rPr>
            <w:color w:val="0462C1"/>
            <w:spacing w:val="-1"/>
            <w:sz w:val="24"/>
            <w:u w:val="single" w:color="0462C1"/>
          </w:rPr>
          <w:t>https://redbook.s</w:t>
        </w:r>
        <w:r>
          <w:rPr>
            <w:color w:val="0462C1"/>
            <w:spacing w:val="-1"/>
            <w:sz w:val="24"/>
            <w:u w:val="single" w:color="0462C1"/>
          </w:rPr>
          <w:t>olutions.aap.org/book.aspx?bo</w:t>
        </w:r>
      </w:hyperlink>
      <w:r>
        <w:rPr>
          <w:color w:val="0462C1"/>
          <w:spacing w:val="-52"/>
          <w:sz w:val="24"/>
        </w:rPr>
        <w:t xml:space="preserve"> </w:t>
      </w:r>
      <w:hyperlink r:id="rId20">
        <w:proofErr w:type="spellStart"/>
        <w:r>
          <w:rPr>
            <w:color w:val="0462C1"/>
            <w:sz w:val="24"/>
            <w:u w:val="single" w:color="0462C1"/>
          </w:rPr>
          <w:t>okid</w:t>
        </w:r>
        <w:proofErr w:type="spellEnd"/>
        <w:r>
          <w:rPr>
            <w:color w:val="0462C1"/>
            <w:sz w:val="24"/>
            <w:u w:val="single" w:color="0462C1"/>
          </w:rPr>
          <w:t>=2205</w:t>
        </w:r>
      </w:hyperlink>
      <w:r>
        <w:rPr>
          <w:sz w:val="24"/>
        </w:rPr>
        <w:t>)</w:t>
      </w:r>
    </w:p>
    <w:p w14:paraId="2C4E6837" w14:textId="77777777" w:rsidR="00014402" w:rsidRDefault="000A5B6B">
      <w:pPr>
        <w:pStyle w:val="ListParagraph"/>
        <w:numPr>
          <w:ilvl w:val="0"/>
          <w:numId w:val="1"/>
        </w:numPr>
        <w:tabs>
          <w:tab w:val="left" w:pos="484"/>
        </w:tabs>
        <w:spacing w:before="1"/>
        <w:ind w:left="483" w:right="253"/>
        <w:rPr>
          <w:sz w:val="24"/>
        </w:rPr>
      </w:pPr>
      <w:r>
        <w:rPr>
          <w:sz w:val="24"/>
        </w:rPr>
        <w:t>This pamphlet was adapted from the California</w:t>
      </w:r>
      <w:r>
        <w:rPr>
          <w:spacing w:val="1"/>
          <w:sz w:val="24"/>
        </w:rPr>
        <w:t xml:space="preserve"> </w:t>
      </w:r>
      <w:r>
        <w:rPr>
          <w:sz w:val="24"/>
        </w:rPr>
        <w:t>Pediatric Tuberculosis Risk Assessment and User</w:t>
      </w:r>
      <w:r>
        <w:rPr>
          <w:spacing w:val="-52"/>
          <w:sz w:val="24"/>
        </w:rPr>
        <w:t xml:space="preserve"> </w:t>
      </w:r>
      <w:r>
        <w:rPr>
          <w:sz w:val="24"/>
        </w:rPr>
        <w:t>Guide, created by the California TB Controller</w:t>
      </w:r>
      <w:r>
        <w:rPr>
          <w:sz w:val="24"/>
        </w:rPr>
        <w:t>s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Association, the California Department of Public</w:t>
      </w:r>
      <w:r>
        <w:rPr>
          <w:spacing w:val="1"/>
          <w:sz w:val="24"/>
        </w:rPr>
        <w:t xml:space="preserve"> </w:t>
      </w:r>
      <w:r>
        <w:rPr>
          <w:sz w:val="24"/>
        </w:rPr>
        <w:t>Health, and the Curry International Tuberculosis</w:t>
      </w:r>
      <w:r>
        <w:rPr>
          <w:spacing w:val="-52"/>
          <w:sz w:val="24"/>
        </w:rPr>
        <w:t xml:space="preserve"> </w:t>
      </w:r>
      <w:r>
        <w:rPr>
          <w:sz w:val="24"/>
        </w:rPr>
        <w:t>Center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</w:t>
      </w:r>
      <w:hyperlink r:id="rId21">
        <w:r>
          <w:rPr>
            <w:color w:val="0462C1"/>
            <w:spacing w:val="-1"/>
            <w:sz w:val="24"/>
            <w:u w:val="single" w:color="0462C1"/>
          </w:rPr>
          <w:t>https://www.cdph.ca.gov/Programs/CID/DCDC/</w:t>
        </w:r>
      </w:hyperlink>
      <w:r>
        <w:rPr>
          <w:color w:val="0462C1"/>
          <w:spacing w:val="-52"/>
          <w:sz w:val="24"/>
        </w:rPr>
        <w:t xml:space="preserve"> </w:t>
      </w:r>
      <w:hyperlink r:id="rId22">
        <w:r>
          <w:rPr>
            <w:color w:val="0462C1"/>
            <w:sz w:val="24"/>
            <w:u w:val="single" w:color="0462C1"/>
          </w:rPr>
          <w:t>CDPH%20Document%20Library/TBCB-CA-</w:t>
        </w:r>
      </w:hyperlink>
      <w:r>
        <w:rPr>
          <w:color w:val="0462C1"/>
          <w:spacing w:val="1"/>
          <w:sz w:val="24"/>
        </w:rPr>
        <w:t xml:space="preserve"> </w:t>
      </w:r>
      <w:hyperlink r:id="rId23">
        <w:r>
          <w:rPr>
            <w:color w:val="0462C1"/>
            <w:sz w:val="24"/>
            <w:u w:val="single" w:color="0462C1"/>
          </w:rPr>
          <w:t>Pediatric-TB-Risk-Assessment.pdf</w:t>
        </w:r>
      </w:hyperlink>
      <w:r>
        <w:rPr>
          <w:sz w:val="24"/>
        </w:rPr>
        <w:t>)</w:t>
      </w:r>
    </w:p>
    <w:p w14:paraId="5700E331" w14:textId="77777777" w:rsidR="00014402" w:rsidRDefault="00014402">
      <w:pPr>
        <w:pStyle w:val="BodyText"/>
      </w:pPr>
    </w:p>
    <w:p w14:paraId="5818A724" w14:textId="77777777" w:rsidR="00014402" w:rsidRDefault="00014402">
      <w:pPr>
        <w:pStyle w:val="BodyText"/>
        <w:spacing w:before="1"/>
      </w:pPr>
    </w:p>
    <w:p w14:paraId="44D0EFD6" w14:textId="77777777" w:rsidR="00014402" w:rsidRDefault="000A5B6B">
      <w:pPr>
        <w:pStyle w:val="Heading1"/>
      </w:pPr>
      <w:r>
        <w:rPr>
          <w:color w:val="1F3863"/>
        </w:rPr>
        <w:t>Abbreviations</w:t>
      </w:r>
    </w:p>
    <w:p w14:paraId="1E8DC3D4" w14:textId="77777777" w:rsidR="00014402" w:rsidRDefault="000A5B6B">
      <w:pPr>
        <w:pStyle w:val="BodyText"/>
        <w:ind w:left="152" w:right="312"/>
      </w:pPr>
      <w:r>
        <w:t>ACIP, Advisory Committee on Immunization</w:t>
      </w:r>
      <w:r>
        <w:rPr>
          <w:spacing w:val="1"/>
        </w:rPr>
        <w:t xml:space="preserve"> </w:t>
      </w:r>
      <w:r>
        <w:t>Practices; AFB, acid-fast bacilli; BCG, Bacillus</w:t>
      </w:r>
      <w:r>
        <w:rPr>
          <w:spacing w:val="1"/>
        </w:rPr>
        <w:t xml:space="preserve"> </w:t>
      </w:r>
      <w:r>
        <w:t>Calmette-</w:t>
      </w:r>
      <w:proofErr w:type="spellStart"/>
      <w:r>
        <w:t>Guérin</w:t>
      </w:r>
      <w:proofErr w:type="spellEnd"/>
      <w:r>
        <w:t>; CXR, chest x-ray; IGR</w:t>
      </w:r>
      <w:r>
        <w:t>A, interferon</w:t>
      </w:r>
      <w:r>
        <w:rPr>
          <w:spacing w:val="-52"/>
        </w:rPr>
        <w:t xml:space="preserve"> </w:t>
      </w:r>
      <w:r>
        <w:t>gamma release assay; LARA, Licensing and</w:t>
      </w:r>
      <w:r>
        <w:rPr>
          <w:spacing w:val="1"/>
        </w:rPr>
        <w:t xml:space="preserve"> </w:t>
      </w:r>
      <w:r>
        <w:t>Regulatory Affairs; LTBI, latent TB infection; NAAT,</w:t>
      </w:r>
      <w:r>
        <w:rPr>
          <w:spacing w:val="1"/>
        </w:rPr>
        <w:t xml:space="preserve"> </w:t>
      </w:r>
      <w:r>
        <w:t>nucleic acid amplification testing; TST, tuberculin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test</w:t>
      </w:r>
    </w:p>
    <w:p w14:paraId="3F9E62C0" w14:textId="77777777" w:rsidR="00014402" w:rsidRDefault="00014402">
      <w:pPr>
        <w:pStyle w:val="BodyText"/>
        <w:rPr>
          <w:sz w:val="20"/>
        </w:rPr>
      </w:pPr>
    </w:p>
    <w:p w14:paraId="3A3F2536" w14:textId="77777777" w:rsidR="00014402" w:rsidRDefault="00014402">
      <w:pPr>
        <w:pStyle w:val="BodyText"/>
        <w:rPr>
          <w:sz w:val="20"/>
        </w:rPr>
      </w:pPr>
    </w:p>
    <w:p w14:paraId="23834AB5" w14:textId="7ECDB899" w:rsidR="00014402" w:rsidRDefault="00014402">
      <w:pPr>
        <w:pStyle w:val="BodyText"/>
        <w:spacing w:before="7"/>
        <w:rPr>
          <w:sz w:val="22"/>
        </w:rPr>
      </w:pPr>
    </w:p>
    <w:p w14:paraId="7ED5BD2B" w14:textId="352FAEB5" w:rsidR="00014402" w:rsidRDefault="00014402">
      <w:pPr>
        <w:spacing w:before="129" w:line="256" w:lineRule="auto"/>
        <w:ind w:left="1698" w:right="1680"/>
        <w:rPr>
          <w:sz w:val="20"/>
        </w:rPr>
      </w:pPr>
    </w:p>
    <w:sectPr w:rsidR="00014402">
      <w:type w:val="continuous"/>
      <w:pgSz w:w="12240" w:h="15840"/>
      <w:pgMar w:top="1840" w:right="580" w:bottom="780" w:left="560" w:header="474" w:footer="576" w:gutter="0"/>
      <w:cols w:num="2" w:space="720" w:equalWidth="0">
        <w:col w:w="5326" w:space="363"/>
        <w:col w:w="541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62DA18" w14:textId="77777777" w:rsidR="00000000" w:rsidRDefault="000A5B6B">
      <w:r>
        <w:separator/>
      </w:r>
    </w:p>
  </w:endnote>
  <w:endnote w:type="continuationSeparator" w:id="0">
    <w:p w14:paraId="31DE84E1" w14:textId="77777777" w:rsidR="00000000" w:rsidRDefault="000A5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1947" w14:textId="77777777" w:rsidR="000A5B6B" w:rsidRDefault="000A5B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AA4B3" w14:textId="326403CF" w:rsidR="00014402" w:rsidRDefault="000A5B6B">
    <w:pPr>
      <w:pStyle w:val="BodyText"/>
      <w:spacing w:line="14" w:lineRule="auto"/>
      <w:rPr>
        <w:sz w:val="20"/>
      </w:rPr>
    </w:pPr>
    <w:r>
      <w:pict w14:anchorId="3A85B22B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8" type="#_x0000_t202" style="position:absolute;margin-left:53.5pt;margin-top:752.45pt;width:242.55pt;height:12pt;z-index:-15878144;mso-position-horizontal-relative:page;mso-position-vertical-relative:page" filled="f" stroked="f">
          <v:textbox inset="0,0,0,0">
            <w:txbxContent>
              <w:p w14:paraId="65068A62" w14:textId="39E811D5" w:rsidR="00014402" w:rsidRDefault="000A5B6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Michigan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Pediatric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Tuberculosis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Risk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Assessment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(02/2022</w:t>
                </w:r>
                <w:r>
                  <w:rPr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00398A92">
        <v:shape id="docshape2" o:spid="_x0000_s1029" type="#_x0000_t202" style="position:absolute;margin-left:502.5pt;margin-top:751.4pt;width:58.5pt;height:13.05pt;z-index:-15878656;mso-position-horizontal-relative:page;mso-position-vertical-relative:page" filled="f" stroked="f">
          <v:textbox inset="0,0,0,0">
            <w:txbxContent>
              <w:p w14:paraId="6824A1CD" w14:textId="77777777" w:rsidR="00014402" w:rsidRDefault="000A5B6B">
                <w:pPr>
                  <w:spacing w:line="245" w:lineRule="exact"/>
                  <w:ind w:left="2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color w:val="1F3863"/>
                  </w:rPr>
                  <w:t>|</w:t>
                </w:r>
                <w:r>
                  <w:rPr>
                    <w:color w:val="1F3863"/>
                    <w:spacing w:val="2"/>
                  </w:rPr>
                  <w:t xml:space="preserve"> </w:t>
                </w:r>
                <w:r>
                  <w:t>1</w:t>
                </w:r>
                <w:r>
                  <w:rPr>
                    <w:spacing w:val="-2"/>
                  </w:rPr>
                  <w:t xml:space="preserve"> </w:t>
                </w:r>
                <w:r>
                  <w:t>of 3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C3DDB" w14:textId="77777777" w:rsidR="000A5B6B" w:rsidRDefault="000A5B6B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E13BB" w14:textId="77777777" w:rsidR="00014402" w:rsidRDefault="000A5B6B">
    <w:pPr>
      <w:pStyle w:val="BodyText"/>
      <w:spacing w:line="14" w:lineRule="auto"/>
      <w:rPr>
        <w:sz w:val="20"/>
      </w:rPr>
    </w:pPr>
    <w:r>
      <w:pict w14:anchorId="1FAF1907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3pt;margin-top:752.2pt;width:289.45pt;height:12pt;z-index:-15876096;mso-position-horizontal-relative:page;mso-position-vertical-relative:page" filled="f" stroked="f">
          <v:textbox inset="0,0,0,0">
            <w:txbxContent>
              <w:p w14:paraId="64E0BE06" w14:textId="3314ED8C" w:rsidR="00014402" w:rsidRDefault="000A5B6B">
                <w:pPr>
                  <w:spacing w:line="223" w:lineRule="exact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Michigan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Pediatric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Tuberculosis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Risk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Assessment</w:t>
                </w:r>
                <w:r>
                  <w:rPr>
                    <w:spacing w:val="-5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User</w:t>
                </w:r>
                <w:r>
                  <w:rPr>
                    <w:spacing w:val="-4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Guide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(02/2022</w:t>
                </w:r>
                <w:r>
                  <w:rPr>
                    <w:sz w:val="20"/>
                  </w:rPr>
                  <w:t>)</w:t>
                </w:r>
              </w:p>
            </w:txbxContent>
          </v:textbox>
          <w10:wrap anchorx="page" anchory="page"/>
        </v:shape>
      </w:pict>
    </w:r>
    <w:r>
      <w:pict w14:anchorId="1B5FE2BC">
        <v:shape id="docshape6" o:spid="_x0000_s1025" type="#_x0000_t202" style="position:absolute;margin-left:511.65pt;margin-top:750.7pt;width:58.5pt;height:15.6pt;z-index:-15875584;mso-position-horizontal-relative:page;mso-position-vertical-relative:page" filled="f" stroked="f">
          <v:textbox inset="0,0,0,0">
            <w:txbxContent>
              <w:p w14:paraId="5CC03A0E" w14:textId="77777777" w:rsidR="00014402" w:rsidRDefault="000A5B6B">
                <w:pPr>
                  <w:spacing w:before="26"/>
                  <w:ind w:left="20"/>
                </w:pPr>
                <w:r>
                  <w:t>Page</w:t>
                </w:r>
                <w:r>
                  <w:rPr>
                    <w:spacing w:val="-4"/>
                  </w:rPr>
                  <w:t xml:space="preserve"> </w:t>
                </w:r>
                <w:r>
                  <w:rPr>
                    <w:color w:val="1F3863"/>
                  </w:rPr>
                  <w:t>|</w:t>
                </w:r>
                <w:r>
                  <w:rPr>
                    <w:color w:val="1F3863"/>
                    <w:spacing w:val="2"/>
                  </w:rPr>
                  <w:t xml:space="preserve"> </w:t>
                </w: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  <w:r>
                  <w:rPr>
                    <w:spacing w:val="-2"/>
                  </w:rPr>
                  <w:t xml:space="preserve"> </w:t>
                </w:r>
                <w:r>
                  <w:t>of 3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A133F" w14:textId="77777777" w:rsidR="00000000" w:rsidRDefault="000A5B6B">
      <w:r>
        <w:separator/>
      </w:r>
    </w:p>
  </w:footnote>
  <w:footnote w:type="continuationSeparator" w:id="0">
    <w:p w14:paraId="5DBDC4B5" w14:textId="77777777" w:rsidR="00000000" w:rsidRDefault="000A5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D15B" w14:textId="77777777" w:rsidR="000A5B6B" w:rsidRDefault="000A5B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A1CBA" w14:textId="77777777" w:rsidR="00014402" w:rsidRDefault="000A5B6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6288" behindDoc="1" locked="0" layoutInCell="1" allowOverlap="1" wp14:anchorId="06FD8D8D" wp14:editId="482C0621">
          <wp:simplePos x="0" y="0"/>
          <wp:positionH relativeFrom="page">
            <wp:posOffset>5972175</wp:posOffset>
          </wp:positionH>
          <wp:positionV relativeFrom="page">
            <wp:posOffset>301015</wp:posOffset>
          </wp:positionV>
          <wp:extent cx="795052" cy="87944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052" cy="879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6800" behindDoc="1" locked="0" layoutInCell="1" allowOverlap="1" wp14:anchorId="5BF40AC2" wp14:editId="3C4DAE76">
          <wp:simplePos x="0" y="0"/>
          <wp:positionH relativeFrom="page">
            <wp:posOffset>438784</wp:posOffset>
          </wp:positionH>
          <wp:positionV relativeFrom="page">
            <wp:posOffset>466725</wp:posOffset>
          </wp:positionV>
          <wp:extent cx="1408176" cy="52768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176" cy="527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B2AB39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0" type="#_x0000_t202" style="position:absolute;margin-left:164.75pt;margin-top:35pt;width:282.45pt;height:52pt;z-index:-15879168;mso-position-horizontal-relative:page;mso-position-vertical-relative:page" filled="f" stroked="f">
          <v:textbox inset="0,0,0,0">
            <w:txbxContent>
              <w:p w14:paraId="4889FAD2" w14:textId="77777777" w:rsidR="00014402" w:rsidRDefault="000A5B6B">
                <w:pPr>
                  <w:spacing w:before="16" w:line="259" w:lineRule="auto"/>
                  <w:ind w:left="1292" w:hanging="1273"/>
                  <w:rPr>
                    <w:rFonts w:ascii="Bahnschrift"/>
                    <w:sz w:val="40"/>
                  </w:rPr>
                </w:pPr>
                <w:r>
                  <w:rPr>
                    <w:rFonts w:ascii="Bahnschrift"/>
                    <w:spacing w:val="-1"/>
                    <w:sz w:val="40"/>
                  </w:rPr>
                  <w:t>Michigan</w:t>
                </w:r>
                <w:r>
                  <w:rPr>
                    <w:rFonts w:ascii="Bahnschrift"/>
                    <w:spacing w:val="-39"/>
                    <w:sz w:val="40"/>
                  </w:rPr>
                  <w:t xml:space="preserve"> </w:t>
                </w:r>
                <w:r>
                  <w:rPr>
                    <w:rFonts w:ascii="Bahnschrift"/>
                    <w:spacing w:val="-1"/>
                    <w:sz w:val="40"/>
                  </w:rPr>
                  <w:t>Pediatric</w:t>
                </w:r>
                <w:r>
                  <w:rPr>
                    <w:rFonts w:ascii="Bahnschrift"/>
                    <w:spacing w:val="-38"/>
                    <w:sz w:val="40"/>
                  </w:rPr>
                  <w:t xml:space="preserve"> </w:t>
                </w:r>
                <w:r>
                  <w:rPr>
                    <w:rFonts w:ascii="Bahnschrift"/>
                    <w:sz w:val="40"/>
                  </w:rPr>
                  <w:t>Tuberculosis</w:t>
                </w:r>
                <w:r>
                  <w:rPr>
                    <w:rFonts w:ascii="Bahnschrift"/>
                    <w:spacing w:val="-104"/>
                    <w:sz w:val="40"/>
                  </w:rPr>
                  <w:t xml:space="preserve"> </w:t>
                </w:r>
                <w:r>
                  <w:rPr>
                    <w:rFonts w:ascii="Bahnschrift"/>
                    <w:spacing w:val="-1"/>
                    <w:sz w:val="40"/>
                  </w:rPr>
                  <w:t>Risk</w:t>
                </w:r>
                <w:r>
                  <w:rPr>
                    <w:rFonts w:ascii="Bahnschrift"/>
                    <w:spacing w:val="-41"/>
                    <w:sz w:val="40"/>
                  </w:rPr>
                  <w:t xml:space="preserve"> </w:t>
                </w:r>
                <w:r>
                  <w:rPr>
                    <w:rFonts w:ascii="Bahnschrift"/>
                    <w:sz w:val="40"/>
                  </w:rPr>
                  <w:t>Assessment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EBDF0" w14:textId="77777777" w:rsidR="000A5B6B" w:rsidRDefault="000A5B6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61480" w14:textId="77777777" w:rsidR="00014402" w:rsidRDefault="000A5B6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38848" behindDoc="1" locked="0" layoutInCell="1" allowOverlap="1" wp14:anchorId="3610FF21" wp14:editId="45185F3E">
          <wp:simplePos x="0" y="0"/>
          <wp:positionH relativeFrom="page">
            <wp:posOffset>5972175</wp:posOffset>
          </wp:positionH>
          <wp:positionV relativeFrom="page">
            <wp:posOffset>301015</wp:posOffset>
          </wp:positionV>
          <wp:extent cx="795052" cy="879449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95052" cy="8794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9360" behindDoc="1" locked="0" layoutInCell="1" allowOverlap="1" wp14:anchorId="530AA796" wp14:editId="5ACC0C11">
          <wp:simplePos x="0" y="0"/>
          <wp:positionH relativeFrom="page">
            <wp:posOffset>438784</wp:posOffset>
          </wp:positionH>
          <wp:positionV relativeFrom="page">
            <wp:posOffset>466725</wp:posOffset>
          </wp:positionV>
          <wp:extent cx="1408176" cy="527684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8176" cy="527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0F7DB90">
        <v:shapetype id="_x0000_t202" coordsize="21600,21600" o:spt="202" path="m,l,21600r21600,l21600,xe">
          <v:stroke joinstyle="miter"/>
          <v:path gradientshapeok="t" o:connecttype="rect"/>
        </v:shapetype>
        <v:shape id="docshape4" o:spid="_x0000_s1027" type="#_x0000_t202" style="position:absolute;margin-left:164.75pt;margin-top:35pt;width:282.45pt;height:52pt;z-index:-15876608;mso-position-horizontal-relative:page;mso-position-vertical-relative:page" filled="f" stroked="f">
          <v:textbox inset="0,0,0,0">
            <w:txbxContent>
              <w:p w14:paraId="268A1EF3" w14:textId="77777777" w:rsidR="00014402" w:rsidRDefault="000A5B6B">
                <w:pPr>
                  <w:spacing w:before="16" w:line="259" w:lineRule="auto"/>
                  <w:ind w:left="291" w:hanging="272"/>
                  <w:rPr>
                    <w:rFonts w:ascii="Bahnschrift"/>
                    <w:sz w:val="40"/>
                  </w:rPr>
                </w:pPr>
                <w:r>
                  <w:rPr>
                    <w:rFonts w:ascii="Bahnschrift"/>
                    <w:spacing w:val="-1"/>
                    <w:sz w:val="40"/>
                  </w:rPr>
                  <w:t>Michigan</w:t>
                </w:r>
                <w:r>
                  <w:rPr>
                    <w:rFonts w:ascii="Bahnschrift"/>
                    <w:spacing w:val="-39"/>
                    <w:sz w:val="40"/>
                  </w:rPr>
                  <w:t xml:space="preserve"> </w:t>
                </w:r>
                <w:r>
                  <w:rPr>
                    <w:rFonts w:ascii="Bahnschrift"/>
                    <w:spacing w:val="-1"/>
                    <w:sz w:val="40"/>
                  </w:rPr>
                  <w:t>Pediatric</w:t>
                </w:r>
                <w:r>
                  <w:rPr>
                    <w:rFonts w:ascii="Bahnschrift"/>
                    <w:spacing w:val="-38"/>
                    <w:sz w:val="40"/>
                  </w:rPr>
                  <w:t xml:space="preserve"> </w:t>
                </w:r>
                <w:r>
                  <w:rPr>
                    <w:rFonts w:ascii="Bahnschrift"/>
                    <w:sz w:val="40"/>
                  </w:rPr>
                  <w:t>Tuberculosis</w:t>
                </w:r>
                <w:r>
                  <w:rPr>
                    <w:rFonts w:ascii="Bahnschrift"/>
                    <w:spacing w:val="-104"/>
                    <w:sz w:val="40"/>
                  </w:rPr>
                  <w:t xml:space="preserve"> </w:t>
                </w:r>
                <w:r>
                  <w:rPr>
                    <w:rFonts w:ascii="Bahnschrift"/>
                    <w:spacing w:val="-1"/>
                    <w:sz w:val="40"/>
                  </w:rPr>
                  <w:t>Risk</w:t>
                </w:r>
                <w:r>
                  <w:rPr>
                    <w:rFonts w:ascii="Bahnschrift"/>
                    <w:spacing w:val="-40"/>
                    <w:sz w:val="40"/>
                  </w:rPr>
                  <w:t xml:space="preserve"> </w:t>
                </w:r>
                <w:r>
                  <w:rPr>
                    <w:rFonts w:ascii="Bahnschrift"/>
                    <w:spacing w:val="-1"/>
                    <w:sz w:val="40"/>
                  </w:rPr>
                  <w:t>Assessment</w:t>
                </w:r>
                <w:r>
                  <w:rPr>
                    <w:rFonts w:ascii="Bahnschrift"/>
                    <w:spacing w:val="-40"/>
                    <w:sz w:val="40"/>
                  </w:rPr>
                  <w:t xml:space="preserve"> </w:t>
                </w:r>
                <w:r>
                  <w:rPr>
                    <w:rFonts w:ascii="Bahnschrift"/>
                    <w:sz w:val="40"/>
                  </w:rPr>
                  <w:t>User</w:t>
                </w:r>
                <w:r>
                  <w:rPr>
                    <w:rFonts w:ascii="Bahnschrift"/>
                    <w:spacing w:val="-37"/>
                    <w:sz w:val="40"/>
                  </w:rPr>
                  <w:t xml:space="preserve"> </w:t>
                </w:r>
                <w:r>
                  <w:rPr>
                    <w:rFonts w:ascii="Bahnschrift"/>
                    <w:sz w:val="40"/>
                  </w:rPr>
                  <w:t>Guide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A17D0C"/>
    <w:multiLevelType w:val="hybridMultilevel"/>
    <w:tmpl w:val="ECE22D8C"/>
    <w:lvl w:ilvl="0" w:tplc="A4ACCF80">
      <w:numFmt w:val="bullet"/>
      <w:lvlText w:val=""/>
      <w:lvlJc w:val="left"/>
      <w:pPr>
        <w:ind w:left="827" w:hanging="22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0C2C5DE2">
      <w:numFmt w:val="bullet"/>
      <w:lvlText w:val="•"/>
      <w:lvlJc w:val="left"/>
      <w:pPr>
        <w:ind w:left="1753" w:hanging="226"/>
      </w:pPr>
      <w:rPr>
        <w:rFonts w:hint="default"/>
        <w:lang w:val="en-US" w:eastAsia="en-US" w:bidi="ar-SA"/>
      </w:rPr>
    </w:lvl>
    <w:lvl w:ilvl="2" w:tplc="333E173A">
      <w:numFmt w:val="bullet"/>
      <w:lvlText w:val="•"/>
      <w:lvlJc w:val="left"/>
      <w:pPr>
        <w:ind w:left="2687" w:hanging="226"/>
      </w:pPr>
      <w:rPr>
        <w:rFonts w:hint="default"/>
        <w:lang w:val="en-US" w:eastAsia="en-US" w:bidi="ar-SA"/>
      </w:rPr>
    </w:lvl>
    <w:lvl w:ilvl="3" w:tplc="855463C4">
      <w:numFmt w:val="bullet"/>
      <w:lvlText w:val="•"/>
      <w:lvlJc w:val="left"/>
      <w:pPr>
        <w:ind w:left="3621" w:hanging="226"/>
      </w:pPr>
      <w:rPr>
        <w:rFonts w:hint="default"/>
        <w:lang w:val="en-US" w:eastAsia="en-US" w:bidi="ar-SA"/>
      </w:rPr>
    </w:lvl>
    <w:lvl w:ilvl="4" w:tplc="E2EAC6F2">
      <w:numFmt w:val="bullet"/>
      <w:lvlText w:val="•"/>
      <w:lvlJc w:val="left"/>
      <w:pPr>
        <w:ind w:left="4554" w:hanging="226"/>
      </w:pPr>
      <w:rPr>
        <w:rFonts w:hint="default"/>
        <w:lang w:val="en-US" w:eastAsia="en-US" w:bidi="ar-SA"/>
      </w:rPr>
    </w:lvl>
    <w:lvl w:ilvl="5" w:tplc="D652838E">
      <w:numFmt w:val="bullet"/>
      <w:lvlText w:val="•"/>
      <w:lvlJc w:val="left"/>
      <w:pPr>
        <w:ind w:left="5488" w:hanging="226"/>
      </w:pPr>
      <w:rPr>
        <w:rFonts w:hint="default"/>
        <w:lang w:val="en-US" w:eastAsia="en-US" w:bidi="ar-SA"/>
      </w:rPr>
    </w:lvl>
    <w:lvl w:ilvl="6" w:tplc="4BC29E8A">
      <w:numFmt w:val="bullet"/>
      <w:lvlText w:val="•"/>
      <w:lvlJc w:val="left"/>
      <w:pPr>
        <w:ind w:left="6422" w:hanging="226"/>
      </w:pPr>
      <w:rPr>
        <w:rFonts w:hint="default"/>
        <w:lang w:val="en-US" w:eastAsia="en-US" w:bidi="ar-SA"/>
      </w:rPr>
    </w:lvl>
    <w:lvl w:ilvl="7" w:tplc="9B3013DC">
      <w:numFmt w:val="bullet"/>
      <w:lvlText w:val="•"/>
      <w:lvlJc w:val="left"/>
      <w:pPr>
        <w:ind w:left="7355" w:hanging="226"/>
      </w:pPr>
      <w:rPr>
        <w:rFonts w:hint="default"/>
        <w:lang w:val="en-US" w:eastAsia="en-US" w:bidi="ar-SA"/>
      </w:rPr>
    </w:lvl>
    <w:lvl w:ilvl="8" w:tplc="61BE2580">
      <w:numFmt w:val="bullet"/>
      <w:lvlText w:val="•"/>
      <w:lvlJc w:val="left"/>
      <w:pPr>
        <w:ind w:left="8289" w:hanging="226"/>
      </w:pPr>
      <w:rPr>
        <w:rFonts w:hint="default"/>
        <w:lang w:val="en-US" w:eastAsia="en-US" w:bidi="ar-SA"/>
      </w:rPr>
    </w:lvl>
  </w:abstractNum>
  <w:abstractNum w:abstractNumId="1" w15:restartNumberingAfterBreak="0">
    <w:nsid w:val="60376AC5"/>
    <w:multiLevelType w:val="hybridMultilevel"/>
    <w:tmpl w:val="C9D8F246"/>
    <w:lvl w:ilvl="0" w:tplc="030AFCF2">
      <w:numFmt w:val="bullet"/>
      <w:lvlText w:val=""/>
      <w:lvlJc w:val="left"/>
      <w:pPr>
        <w:ind w:left="484" w:hanging="272"/>
      </w:pPr>
      <w:rPr>
        <w:rFonts w:ascii="Symbol" w:eastAsia="Symbol" w:hAnsi="Symbol" w:cs="Symbol" w:hint="default"/>
        <w:b w:val="0"/>
        <w:bCs w:val="0"/>
        <w:i w:val="0"/>
        <w:iCs w:val="0"/>
        <w:color w:val="001F5F"/>
        <w:w w:val="100"/>
        <w:sz w:val="24"/>
        <w:szCs w:val="24"/>
        <w:lang w:val="en-US" w:eastAsia="en-US" w:bidi="ar-SA"/>
      </w:rPr>
    </w:lvl>
    <w:lvl w:ilvl="1" w:tplc="7CA07BB6">
      <w:numFmt w:val="bullet"/>
      <w:lvlText w:val="•"/>
      <w:lvlJc w:val="left"/>
      <w:pPr>
        <w:ind w:left="973" w:hanging="272"/>
      </w:pPr>
      <w:rPr>
        <w:rFonts w:hint="default"/>
        <w:lang w:val="en-US" w:eastAsia="en-US" w:bidi="ar-SA"/>
      </w:rPr>
    </w:lvl>
    <w:lvl w:ilvl="2" w:tplc="681EE11A">
      <w:numFmt w:val="bullet"/>
      <w:lvlText w:val="•"/>
      <w:lvlJc w:val="left"/>
      <w:pPr>
        <w:ind w:left="1466" w:hanging="272"/>
      </w:pPr>
      <w:rPr>
        <w:rFonts w:hint="default"/>
        <w:lang w:val="en-US" w:eastAsia="en-US" w:bidi="ar-SA"/>
      </w:rPr>
    </w:lvl>
    <w:lvl w:ilvl="3" w:tplc="404E4158">
      <w:numFmt w:val="bullet"/>
      <w:lvlText w:val="•"/>
      <w:lvlJc w:val="left"/>
      <w:pPr>
        <w:ind w:left="1959" w:hanging="272"/>
      </w:pPr>
      <w:rPr>
        <w:rFonts w:hint="default"/>
        <w:lang w:val="en-US" w:eastAsia="en-US" w:bidi="ar-SA"/>
      </w:rPr>
    </w:lvl>
    <w:lvl w:ilvl="4" w:tplc="4B16F418">
      <w:numFmt w:val="bullet"/>
      <w:lvlText w:val="•"/>
      <w:lvlJc w:val="left"/>
      <w:pPr>
        <w:ind w:left="2452" w:hanging="272"/>
      </w:pPr>
      <w:rPr>
        <w:rFonts w:hint="default"/>
        <w:lang w:val="en-US" w:eastAsia="en-US" w:bidi="ar-SA"/>
      </w:rPr>
    </w:lvl>
    <w:lvl w:ilvl="5" w:tplc="01F217E6">
      <w:numFmt w:val="bullet"/>
      <w:lvlText w:val="•"/>
      <w:lvlJc w:val="left"/>
      <w:pPr>
        <w:ind w:left="2945" w:hanging="272"/>
      </w:pPr>
      <w:rPr>
        <w:rFonts w:hint="default"/>
        <w:lang w:val="en-US" w:eastAsia="en-US" w:bidi="ar-SA"/>
      </w:rPr>
    </w:lvl>
    <w:lvl w:ilvl="6" w:tplc="1F38EDDE">
      <w:numFmt w:val="bullet"/>
      <w:lvlText w:val="•"/>
      <w:lvlJc w:val="left"/>
      <w:pPr>
        <w:ind w:left="3438" w:hanging="272"/>
      </w:pPr>
      <w:rPr>
        <w:rFonts w:hint="default"/>
        <w:lang w:val="en-US" w:eastAsia="en-US" w:bidi="ar-SA"/>
      </w:rPr>
    </w:lvl>
    <w:lvl w:ilvl="7" w:tplc="1926070E">
      <w:numFmt w:val="bullet"/>
      <w:lvlText w:val="•"/>
      <w:lvlJc w:val="left"/>
      <w:pPr>
        <w:ind w:left="3931" w:hanging="272"/>
      </w:pPr>
      <w:rPr>
        <w:rFonts w:hint="default"/>
        <w:lang w:val="en-US" w:eastAsia="en-US" w:bidi="ar-SA"/>
      </w:rPr>
    </w:lvl>
    <w:lvl w:ilvl="8" w:tplc="233CF688">
      <w:numFmt w:val="bullet"/>
      <w:lvlText w:val="•"/>
      <w:lvlJc w:val="left"/>
      <w:pPr>
        <w:ind w:left="4424" w:hanging="27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14402"/>
    <w:rsid w:val="00014402"/>
    <w:rsid w:val="000A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99EDB4"/>
  <w15:docId w15:val="{86E3B181-2A7C-449C-A13F-AB274E0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Heading1">
    <w:name w:val="heading 1"/>
    <w:basedOn w:val="Normal"/>
    <w:uiPriority w:val="9"/>
    <w:qFormat/>
    <w:pPr>
      <w:spacing w:line="341" w:lineRule="exact"/>
      <w:ind w:left="152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6"/>
      <w:ind w:left="291" w:hanging="1273"/>
    </w:pPr>
    <w:rPr>
      <w:rFonts w:ascii="Bahnschrift" w:eastAsia="Bahnschrift" w:hAnsi="Bahnschrift" w:cs="Bahnschrift"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3" w:right="174" w:hanging="27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A5B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B6B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0A5B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B6B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www.michigan.gov/lara/" TargetMode="External"/><Relationship Id="rId18" Type="http://schemas.openxmlformats.org/officeDocument/2006/relationships/hyperlink" Target="https://www.cdc.gov/tb/publications/ltbi/ltbiresources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dph.ca.gov/Programs/CID/DCDC/CDPH%20Document%20Library/TBCB-CA-Pediatric-TB-Risk-Assessment.pdf" TargetMode="Externa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www.cdc.gov/tb/publications/ltbi/ltbiresources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redbook.solutions.aap.org/book.aspx?bookid=220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yperlink" Target="https://www.cdph.ca.gov/Programs/CID/DCDC/CDPH%20Document%20Library/TBCB-CA-Pediatric-TB-Risk-Assessment.pdf" TargetMode="External"/><Relationship Id="rId10" Type="http://schemas.openxmlformats.org/officeDocument/2006/relationships/footer" Target="footer2.xml"/><Relationship Id="rId19" Type="http://schemas.openxmlformats.org/officeDocument/2006/relationships/hyperlink" Target="https://redbook.solutions.aap.org/book.aspx?bookid=220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michigan.gov/lara/" TargetMode="External"/><Relationship Id="rId22" Type="http://schemas.openxmlformats.org/officeDocument/2006/relationships/hyperlink" Target="https://www.cdph.ca.gov/Programs/CID/DCDC/CDPH%20Document%20Library/TBCB-CA-Pediatric-TB-Risk-Assessment.pdf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1158</Words>
  <Characters>6602</Characters>
  <Application>Microsoft Office Word</Application>
  <DocSecurity>0</DocSecurity>
  <Lines>55</Lines>
  <Paragraphs>15</Paragraphs>
  <ScaleCrop>false</ScaleCrop>
  <Company/>
  <LinksUpToDate>false</LinksUpToDate>
  <CharactersWithSpaces>7745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McGuirk, Helen (DCH)</dc:creator>
  <cp:lastModifiedBy>Berlin, Claire (DHHS-Contractor)</cp:lastModifiedBy>
  <cp:revision>2</cp:revision>
  <dcterms:created xsi:type="dcterms:W3CDTF">2022-02-28T16:07:00Z</dcterms:created>
  <dcterms:modified xsi:type="dcterms:W3CDTF">2022-02-28T16:14:00Z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2022-02-28T00:00:00Z</vt:filetime>
  </property>
  <property fmtid="{D5CDD505-2E9C-101B-9397-08002B2CF9AE}" pid="5" name="MSIP_Label_3a2fed65-62e7-46ea-af74-187e0c17143a_Enabled">
    <vt:lpwstr>true</vt:lpwstr>
  </property>
  <property fmtid="{D5CDD505-2E9C-101B-9397-08002B2CF9AE}" pid="6" name="MSIP_Label_3a2fed65-62e7-46ea-af74-187e0c17143a_SetDate">
    <vt:lpwstr>2022-02-28T16:14:03Z</vt:lpwstr>
  </property>
  <property fmtid="{D5CDD505-2E9C-101B-9397-08002B2CF9AE}" pid="7" name="MSIP_Label_3a2fed65-62e7-46ea-af74-187e0c17143a_Method">
    <vt:lpwstr>Privileged</vt:lpwstr>
  </property>
  <property fmtid="{D5CDD505-2E9C-101B-9397-08002B2CF9AE}" pid="8" name="MSIP_Label_3a2fed65-62e7-46ea-af74-187e0c17143a_Name">
    <vt:lpwstr>3a2fed65-62e7-46ea-af74-187e0c17143a</vt:lpwstr>
  </property>
  <property fmtid="{D5CDD505-2E9C-101B-9397-08002B2CF9AE}" pid="9" name="MSIP_Label_3a2fed65-62e7-46ea-af74-187e0c17143a_SiteId">
    <vt:lpwstr>d5fb7087-3777-42ad-966a-892ef47225d1</vt:lpwstr>
  </property>
  <property fmtid="{D5CDD505-2E9C-101B-9397-08002B2CF9AE}" pid="10" name="MSIP_Label_3a2fed65-62e7-46ea-af74-187e0c17143a_ActionId">
    <vt:lpwstr>c90bfb0f-70bf-4b09-bc89-93f2cec2eb08</vt:lpwstr>
  </property>
  <property fmtid="{D5CDD505-2E9C-101B-9397-08002B2CF9AE}" pid="11" name="MSIP_Label_3a2fed65-62e7-46ea-af74-187e0c17143a_ContentBits">
    <vt:lpwstr>0</vt:lpwstr>
  </property>
</Properties>
</file>