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41336" w14:textId="77777777" w:rsidR="003774D1" w:rsidRDefault="003774D1" w:rsidP="003774D1">
      <w:pPr>
        <w:pStyle w:val="Default"/>
        <w:rPr>
          <w:rFonts w:asciiTheme="minorHAnsi" w:hAnsiTheme="minorHAnsi" w:cstheme="minorHAnsi"/>
          <w:color w:val="auto"/>
        </w:rPr>
      </w:pPr>
    </w:p>
    <w:p w14:paraId="3686661C" w14:textId="541B04C4" w:rsidR="006E3773" w:rsidRPr="003774D1" w:rsidRDefault="006E3773" w:rsidP="003774D1">
      <w:pPr>
        <w:pStyle w:val="Default"/>
        <w:rPr>
          <w:rFonts w:asciiTheme="minorHAnsi" w:hAnsiTheme="minorHAnsi" w:cstheme="minorHAnsi"/>
          <w:color w:val="auto"/>
        </w:rPr>
      </w:pPr>
      <w:r w:rsidRPr="003774D1">
        <w:rPr>
          <w:rFonts w:asciiTheme="minorHAnsi" w:hAnsiTheme="minorHAnsi" w:cstheme="minorHAnsi"/>
          <w:color w:val="auto"/>
        </w:rPr>
        <w:t xml:space="preserve">We support the health and </w:t>
      </w:r>
      <w:r w:rsidR="009D3291" w:rsidRPr="003774D1">
        <w:rPr>
          <w:rFonts w:asciiTheme="minorHAnsi" w:hAnsiTheme="minorHAnsi" w:cstheme="minorHAnsi"/>
          <w:color w:val="auto"/>
        </w:rPr>
        <w:t>well-being</w:t>
      </w:r>
      <w:r w:rsidRPr="003774D1">
        <w:rPr>
          <w:rFonts w:asciiTheme="minorHAnsi" w:hAnsiTheme="minorHAnsi" w:cstheme="minorHAnsi"/>
          <w:color w:val="auto"/>
        </w:rPr>
        <w:t xml:space="preserve"> of the people living in our communities. Working together, we want to ensure that medical clinicians (physicians, physician assistants, nurse practitioners</w:t>
      </w:r>
      <w:r w:rsidR="0057556C">
        <w:rPr>
          <w:rFonts w:asciiTheme="minorHAnsi" w:hAnsiTheme="minorHAnsi" w:cstheme="minorHAnsi"/>
          <w:color w:val="auto"/>
        </w:rPr>
        <w:t>),</w:t>
      </w:r>
      <w:r w:rsidRPr="003774D1">
        <w:rPr>
          <w:rFonts w:asciiTheme="minorHAnsi" w:hAnsiTheme="minorHAnsi" w:cstheme="minorHAnsi"/>
          <w:color w:val="auto"/>
        </w:rPr>
        <w:t xml:space="preserve"> other members of clinical care teams (nurses, medical assistants, community health workers, care navigators</w:t>
      </w:r>
      <w:r w:rsidR="0057556C">
        <w:rPr>
          <w:rFonts w:asciiTheme="minorHAnsi" w:hAnsiTheme="minorHAnsi" w:cstheme="minorHAnsi"/>
          <w:color w:val="auto"/>
        </w:rPr>
        <w:t>, BHCs</w:t>
      </w:r>
      <w:r w:rsidRPr="003774D1">
        <w:rPr>
          <w:rFonts w:asciiTheme="minorHAnsi" w:hAnsiTheme="minorHAnsi" w:cstheme="minorHAnsi"/>
          <w:color w:val="auto"/>
        </w:rPr>
        <w:t xml:space="preserve">) and others have access to the resources and support necessary to serve our communities, specific to chronic pain management. </w:t>
      </w:r>
    </w:p>
    <w:p w14:paraId="340582BE" w14:textId="77777777" w:rsidR="006E3773" w:rsidRPr="003774D1" w:rsidRDefault="006E3773" w:rsidP="003774D1">
      <w:pPr>
        <w:pStyle w:val="Default"/>
        <w:rPr>
          <w:rFonts w:asciiTheme="minorHAnsi" w:hAnsiTheme="minorHAnsi" w:cstheme="minorHAnsi"/>
          <w:color w:val="auto"/>
        </w:rPr>
      </w:pPr>
    </w:p>
    <w:p w14:paraId="5D0801BC" w14:textId="77777777" w:rsidR="006E3773" w:rsidRPr="003774D1" w:rsidRDefault="006E3773" w:rsidP="003774D1">
      <w:pPr>
        <w:pStyle w:val="Default"/>
        <w:rPr>
          <w:rFonts w:asciiTheme="minorHAnsi" w:hAnsiTheme="minorHAnsi" w:cstheme="minorHAnsi"/>
          <w:color w:val="auto"/>
        </w:rPr>
      </w:pPr>
      <w:r w:rsidRPr="003774D1">
        <w:rPr>
          <w:rFonts w:asciiTheme="minorHAnsi" w:hAnsiTheme="minorHAnsi" w:cstheme="minorHAnsi"/>
          <w:b/>
          <w:bCs/>
          <w:color w:val="auto"/>
        </w:rPr>
        <w:t xml:space="preserve">Alert: </w:t>
      </w:r>
    </w:p>
    <w:p w14:paraId="173760AB" w14:textId="7EFA086F" w:rsidR="006E3773" w:rsidRPr="003774D1" w:rsidRDefault="009D3291" w:rsidP="003774D1">
      <w:pPr>
        <w:pStyle w:val="Default"/>
        <w:rPr>
          <w:rFonts w:asciiTheme="minorHAnsi" w:hAnsiTheme="minorHAnsi" w:cstheme="minorHAnsi"/>
          <w:color w:val="auto"/>
        </w:rPr>
      </w:pPr>
      <w:r w:rsidRPr="003774D1">
        <w:rPr>
          <w:rFonts w:asciiTheme="minorHAnsi" w:hAnsiTheme="minorHAnsi" w:cstheme="minorHAnsi"/>
          <w:color w:val="auto"/>
        </w:rPr>
        <w:t xml:space="preserve">Our region is problem solving through the </w:t>
      </w:r>
      <w:r w:rsidR="006E3773" w:rsidRPr="003774D1">
        <w:rPr>
          <w:rFonts w:asciiTheme="minorHAnsi" w:hAnsiTheme="minorHAnsi" w:cstheme="minorHAnsi"/>
          <w:color w:val="auto"/>
        </w:rPr>
        <w:t xml:space="preserve">abrupt closure of Michigan Pain Consultants (MPC) pain management centers (three sites closed on </w:t>
      </w:r>
      <w:r w:rsidR="00464E37" w:rsidRPr="003774D1">
        <w:rPr>
          <w:rFonts w:asciiTheme="minorHAnsi" w:hAnsiTheme="minorHAnsi" w:cstheme="minorHAnsi"/>
          <w:color w:val="auto"/>
        </w:rPr>
        <w:t xml:space="preserve">June 13, </w:t>
      </w:r>
      <w:r w:rsidR="00C6455F" w:rsidRPr="003774D1">
        <w:rPr>
          <w:rFonts w:asciiTheme="minorHAnsi" w:hAnsiTheme="minorHAnsi" w:cstheme="minorHAnsi"/>
          <w:color w:val="auto"/>
        </w:rPr>
        <w:t>2024,</w:t>
      </w:r>
      <w:r w:rsidR="00464E37" w:rsidRPr="003774D1">
        <w:rPr>
          <w:rFonts w:asciiTheme="minorHAnsi" w:hAnsiTheme="minorHAnsi" w:cstheme="minorHAnsi"/>
          <w:color w:val="auto"/>
        </w:rPr>
        <w:t xml:space="preserve"> </w:t>
      </w:r>
      <w:r w:rsidR="00F036EB">
        <w:rPr>
          <w:rFonts w:asciiTheme="minorHAnsi" w:hAnsiTheme="minorHAnsi" w:cstheme="minorHAnsi"/>
          <w:color w:val="auto"/>
        </w:rPr>
        <w:t xml:space="preserve">Greenville and Holland sites </w:t>
      </w:r>
      <w:r w:rsidR="0057556C">
        <w:rPr>
          <w:rFonts w:asciiTheme="minorHAnsi" w:hAnsiTheme="minorHAnsi" w:cstheme="minorHAnsi"/>
          <w:color w:val="auto"/>
        </w:rPr>
        <w:t>closed on</w:t>
      </w:r>
      <w:r w:rsidR="00F036EB">
        <w:rPr>
          <w:rFonts w:asciiTheme="minorHAnsi" w:hAnsiTheme="minorHAnsi" w:cstheme="minorHAnsi"/>
          <w:color w:val="auto"/>
        </w:rPr>
        <w:t xml:space="preserve"> 6/28/2024, Grand Rapids </w:t>
      </w:r>
      <w:r w:rsidR="0057556C">
        <w:rPr>
          <w:rFonts w:asciiTheme="minorHAnsi" w:hAnsiTheme="minorHAnsi" w:cstheme="minorHAnsi"/>
          <w:color w:val="auto"/>
        </w:rPr>
        <w:t xml:space="preserve">site </w:t>
      </w:r>
      <w:r w:rsidR="00F036EB">
        <w:rPr>
          <w:rFonts w:asciiTheme="minorHAnsi" w:hAnsiTheme="minorHAnsi" w:cstheme="minorHAnsi"/>
          <w:color w:val="auto"/>
        </w:rPr>
        <w:t>will close on August 30</w:t>
      </w:r>
      <w:r w:rsidR="00464E37" w:rsidRPr="003774D1">
        <w:rPr>
          <w:rFonts w:asciiTheme="minorHAnsi" w:hAnsiTheme="minorHAnsi" w:cstheme="minorHAnsi"/>
          <w:color w:val="auto"/>
        </w:rPr>
        <w:t>, 2024)</w:t>
      </w:r>
      <w:r w:rsidRPr="003774D1">
        <w:rPr>
          <w:rFonts w:asciiTheme="minorHAnsi" w:hAnsiTheme="minorHAnsi" w:cstheme="minorHAnsi"/>
          <w:color w:val="auto"/>
        </w:rPr>
        <w:t xml:space="preserve">. These closures </w:t>
      </w:r>
      <w:r w:rsidR="00226587" w:rsidRPr="003774D1">
        <w:rPr>
          <w:rFonts w:asciiTheme="minorHAnsi" w:hAnsiTheme="minorHAnsi" w:cstheme="minorHAnsi"/>
          <w:color w:val="auto"/>
        </w:rPr>
        <w:t xml:space="preserve">(from the Lake Michigan lakeshore through Grand Rapids, north of Big Rapids and south to Barry County) </w:t>
      </w:r>
      <w:r w:rsidRPr="003774D1">
        <w:rPr>
          <w:rFonts w:asciiTheme="minorHAnsi" w:hAnsiTheme="minorHAnsi" w:cstheme="minorHAnsi"/>
          <w:color w:val="auto"/>
        </w:rPr>
        <w:t xml:space="preserve">are </w:t>
      </w:r>
      <w:r w:rsidR="00464E37" w:rsidRPr="003774D1">
        <w:rPr>
          <w:rFonts w:asciiTheme="minorHAnsi" w:hAnsiTheme="minorHAnsi" w:cstheme="minorHAnsi"/>
          <w:color w:val="auto"/>
        </w:rPr>
        <w:t>resulting in over 5</w:t>
      </w:r>
      <w:r w:rsidR="006E3773" w:rsidRPr="003774D1">
        <w:rPr>
          <w:rFonts w:asciiTheme="minorHAnsi" w:hAnsiTheme="minorHAnsi" w:cstheme="minorHAnsi"/>
          <w:color w:val="auto"/>
        </w:rPr>
        <w:t>0,000 patients</w:t>
      </w:r>
      <w:r w:rsidR="00464E37" w:rsidRPr="003774D1">
        <w:rPr>
          <w:rFonts w:asciiTheme="minorHAnsi" w:hAnsiTheme="minorHAnsi" w:cstheme="minorHAnsi"/>
          <w:color w:val="auto"/>
        </w:rPr>
        <w:t xml:space="preserve"> scrambling for</w:t>
      </w:r>
      <w:r w:rsidR="006E3773" w:rsidRPr="003774D1">
        <w:rPr>
          <w:rFonts w:asciiTheme="minorHAnsi" w:hAnsiTheme="minorHAnsi" w:cstheme="minorHAnsi"/>
          <w:color w:val="auto"/>
        </w:rPr>
        <w:t xml:space="preserve"> medical records, </w:t>
      </w:r>
      <w:r w:rsidR="006D1F77">
        <w:rPr>
          <w:rFonts w:asciiTheme="minorHAnsi" w:hAnsiTheme="minorHAnsi" w:cstheme="minorHAnsi"/>
          <w:color w:val="auto"/>
        </w:rPr>
        <w:t xml:space="preserve">medical </w:t>
      </w:r>
      <w:proofErr w:type="gramStart"/>
      <w:r w:rsidR="006E3773" w:rsidRPr="003774D1">
        <w:rPr>
          <w:rFonts w:asciiTheme="minorHAnsi" w:hAnsiTheme="minorHAnsi" w:cstheme="minorHAnsi"/>
          <w:color w:val="auto"/>
        </w:rPr>
        <w:t>treatment</w:t>
      </w:r>
      <w:proofErr w:type="gramEnd"/>
      <w:r w:rsidR="006E3773" w:rsidRPr="003774D1">
        <w:rPr>
          <w:rFonts w:asciiTheme="minorHAnsi" w:hAnsiTheme="minorHAnsi" w:cstheme="minorHAnsi"/>
          <w:color w:val="auto"/>
        </w:rPr>
        <w:t xml:space="preserve"> </w:t>
      </w:r>
      <w:r w:rsidRPr="003774D1">
        <w:rPr>
          <w:rFonts w:asciiTheme="minorHAnsi" w:hAnsiTheme="minorHAnsi" w:cstheme="minorHAnsi"/>
          <w:color w:val="auto"/>
        </w:rPr>
        <w:t xml:space="preserve">and transition </w:t>
      </w:r>
      <w:r w:rsidR="006E3773" w:rsidRPr="003774D1">
        <w:rPr>
          <w:rFonts w:asciiTheme="minorHAnsi" w:hAnsiTheme="minorHAnsi" w:cstheme="minorHAnsi"/>
          <w:color w:val="auto"/>
        </w:rPr>
        <w:t>plan</w:t>
      </w:r>
      <w:r w:rsidRPr="003774D1">
        <w:rPr>
          <w:rFonts w:asciiTheme="minorHAnsi" w:hAnsiTheme="minorHAnsi" w:cstheme="minorHAnsi"/>
          <w:color w:val="auto"/>
        </w:rPr>
        <w:t xml:space="preserve">s. Many </w:t>
      </w:r>
      <w:r w:rsidR="00226587" w:rsidRPr="003774D1">
        <w:rPr>
          <w:rFonts w:asciiTheme="minorHAnsi" w:hAnsiTheme="minorHAnsi" w:cstheme="minorHAnsi"/>
          <w:color w:val="auto"/>
        </w:rPr>
        <w:t xml:space="preserve">patients </w:t>
      </w:r>
      <w:r w:rsidRPr="003774D1">
        <w:rPr>
          <w:rFonts w:asciiTheme="minorHAnsi" w:hAnsiTheme="minorHAnsi" w:cstheme="minorHAnsi"/>
          <w:color w:val="auto"/>
        </w:rPr>
        <w:t xml:space="preserve">are understandably </w:t>
      </w:r>
      <w:r w:rsidR="00226587" w:rsidRPr="003774D1">
        <w:rPr>
          <w:rFonts w:asciiTheme="minorHAnsi" w:hAnsiTheme="minorHAnsi" w:cstheme="minorHAnsi"/>
          <w:color w:val="auto"/>
        </w:rPr>
        <w:t>afraid</w:t>
      </w:r>
      <w:r w:rsidR="00464E37" w:rsidRPr="003774D1">
        <w:rPr>
          <w:rFonts w:asciiTheme="minorHAnsi" w:hAnsiTheme="minorHAnsi" w:cstheme="minorHAnsi"/>
          <w:color w:val="auto"/>
        </w:rPr>
        <w:t xml:space="preserve"> about </w:t>
      </w:r>
      <w:r w:rsidR="006E3773" w:rsidRPr="003774D1">
        <w:rPr>
          <w:rFonts w:asciiTheme="minorHAnsi" w:hAnsiTheme="minorHAnsi" w:cstheme="minorHAnsi"/>
          <w:color w:val="auto"/>
        </w:rPr>
        <w:t xml:space="preserve">disruptions in care </w:t>
      </w:r>
      <w:r w:rsidR="00464E37" w:rsidRPr="003774D1">
        <w:rPr>
          <w:rFonts w:asciiTheme="minorHAnsi" w:hAnsiTheme="minorHAnsi" w:cstheme="minorHAnsi"/>
          <w:color w:val="auto"/>
        </w:rPr>
        <w:t xml:space="preserve">if </w:t>
      </w:r>
      <w:r w:rsidRPr="003774D1">
        <w:rPr>
          <w:rFonts w:asciiTheme="minorHAnsi" w:hAnsiTheme="minorHAnsi" w:cstheme="minorHAnsi"/>
          <w:color w:val="auto"/>
        </w:rPr>
        <w:t xml:space="preserve">they are </w:t>
      </w:r>
      <w:r w:rsidR="00464E37" w:rsidRPr="003774D1">
        <w:rPr>
          <w:rFonts w:asciiTheme="minorHAnsi" w:hAnsiTheme="minorHAnsi" w:cstheme="minorHAnsi"/>
          <w:color w:val="auto"/>
        </w:rPr>
        <w:t xml:space="preserve">currently receiving opioids as part of their chronic pain treatment plan. </w:t>
      </w:r>
    </w:p>
    <w:p w14:paraId="610EE8E7" w14:textId="77777777" w:rsidR="004423EF" w:rsidRPr="003774D1" w:rsidRDefault="004423EF" w:rsidP="003774D1">
      <w:pPr>
        <w:pStyle w:val="Default"/>
        <w:rPr>
          <w:rFonts w:asciiTheme="minorHAnsi" w:hAnsiTheme="minorHAnsi" w:cstheme="minorHAnsi"/>
          <w:color w:val="auto"/>
        </w:rPr>
      </w:pPr>
    </w:p>
    <w:p w14:paraId="42842BA8" w14:textId="77777777" w:rsidR="006E3773" w:rsidRPr="003774D1" w:rsidRDefault="006E3773" w:rsidP="003774D1">
      <w:pPr>
        <w:pStyle w:val="Default"/>
        <w:rPr>
          <w:rFonts w:asciiTheme="minorHAnsi" w:hAnsiTheme="minorHAnsi" w:cstheme="minorHAnsi"/>
          <w:color w:val="auto"/>
        </w:rPr>
      </w:pPr>
      <w:r w:rsidRPr="003774D1">
        <w:rPr>
          <w:rFonts w:asciiTheme="minorHAnsi" w:hAnsiTheme="minorHAnsi" w:cstheme="minorHAnsi"/>
          <w:b/>
          <w:bCs/>
          <w:color w:val="auto"/>
        </w:rPr>
        <w:t xml:space="preserve">Action: </w:t>
      </w:r>
    </w:p>
    <w:p w14:paraId="39DF45BA" w14:textId="77777777" w:rsidR="00B4726E" w:rsidRPr="003774D1" w:rsidRDefault="006E3773" w:rsidP="003774D1">
      <w:pPr>
        <w:pStyle w:val="Default"/>
        <w:rPr>
          <w:rFonts w:asciiTheme="minorHAnsi" w:hAnsiTheme="minorHAnsi" w:cstheme="minorHAnsi"/>
          <w:color w:val="auto"/>
        </w:rPr>
      </w:pPr>
      <w:r w:rsidRPr="003774D1">
        <w:rPr>
          <w:rFonts w:asciiTheme="minorHAnsi" w:hAnsiTheme="minorHAnsi" w:cstheme="minorHAnsi"/>
          <w:color w:val="auto"/>
        </w:rPr>
        <w:t xml:space="preserve">Given the </w:t>
      </w:r>
      <w:r w:rsidR="004423EF" w:rsidRPr="003774D1">
        <w:rPr>
          <w:rFonts w:asciiTheme="minorHAnsi" w:hAnsiTheme="minorHAnsi" w:cstheme="minorHAnsi"/>
          <w:color w:val="auto"/>
        </w:rPr>
        <w:t xml:space="preserve">regional (and </w:t>
      </w:r>
      <w:r w:rsidRPr="003774D1">
        <w:rPr>
          <w:rFonts w:asciiTheme="minorHAnsi" w:hAnsiTheme="minorHAnsi" w:cstheme="minorHAnsi"/>
          <w:color w:val="auto"/>
        </w:rPr>
        <w:t>national</w:t>
      </w:r>
      <w:r w:rsidR="004423EF" w:rsidRPr="003774D1">
        <w:rPr>
          <w:rFonts w:asciiTheme="minorHAnsi" w:hAnsiTheme="minorHAnsi" w:cstheme="minorHAnsi"/>
          <w:color w:val="auto"/>
        </w:rPr>
        <w:t>)</w:t>
      </w:r>
      <w:r w:rsidRPr="003774D1">
        <w:rPr>
          <w:rFonts w:asciiTheme="minorHAnsi" w:hAnsiTheme="minorHAnsi" w:cstheme="minorHAnsi"/>
          <w:color w:val="auto"/>
        </w:rPr>
        <w:t xml:space="preserve"> shortage in pain management </w:t>
      </w:r>
      <w:r w:rsidR="004423EF" w:rsidRPr="003774D1">
        <w:rPr>
          <w:rFonts w:asciiTheme="minorHAnsi" w:hAnsiTheme="minorHAnsi" w:cstheme="minorHAnsi"/>
          <w:color w:val="auto"/>
        </w:rPr>
        <w:t>specialists</w:t>
      </w:r>
      <w:r w:rsidRPr="003774D1">
        <w:rPr>
          <w:rFonts w:asciiTheme="minorHAnsi" w:hAnsiTheme="minorHAnsi" w:cstheme="minorHAnsi"/>
          <w:color w:val="auto"/>
        </w:rPr>
        <w:t xml:space="preserve">, we </w:t>
      </w:r>
      <w:r w:rsidR="004423EF" w:rsidRPr="003774D1">
        <w:rPr>
          <w:rFonts w:asciiTheme="minorHAnsi" w:hAnsiTheme="minorHAnsi" w:cstheme="minorHAnsi"/>
          <w:color w:val="auto"/>
        </w:rPr>
        <w:t xml:space="preserve">know that these 50,000 patients cannot simply transfer to another specialty pain center. MPC is focusing its efforts on finding other pain specialists in the region who can receive patients referred for injection therapies and other procedural interventions for pain. </w:t>
      </w:r>
      <w:r w:rsidR="009D3291" w:rsidRPr="003774D1">
        <w:rPr>
          <w:rFonts w:asciiTheme="minorHAnsi" w:hAnsiTheme="minorHAnsi" w:cstheme="minorHAnsi"/>
          <w:color w:val="auto"/>
        </w:rPr>
        <w:t xml:space="preserve">Pain specialists in the region are working hard to receive and prioritize referrals, and </w:t>
      </w:r>
      <w:r w:rsidR="00B4726E" w:rsidRPr="003774D1">
        <w:rPr>
          <w:rFonts w:asciiTheme="minorHAnsi" w:hAnsiTheme="minorHAnsi" w:cstheme="minorHAnsi"/>
          <w:color w:val="auto"/>
        </w:rPr>
        <w:t xml:space="preserve">rapidly expand their capacity to serve more patients. But this will take several months to achieve. </w:t>
      </w:r>
    </w:p>
    <w:p w14:paraId="46DDE155" w14:textId="77777777" w:rsidR="00B4726E" w:rsidRPr="003774D1" w:rsidRDefault="00B4726E" w:rsidP="003774D1">
      <w:pPr>
        <w:pStyle w:val="Default"/>
        <w:rPr>
          <w:rFonts w:asciiTheme="minorHAnsi" w:hAnsiTheme="minorHAnsi" w:cstheme="minorHAnsi"/>
          <w:color w:val="auto"/>
        </w:rPr>
      </w:pPr>
    </w:p>
    <w:p w14:paraId="58DF694F" w14:textId="3D1396CB" w:rsidR="00FF285E" w:rsidRPr="003774D1" w:rsidRDefault="004423EF" w:rsidP="003774D1">
      <w:pPr>
        <w:pStyle w:val="Default"/>
        <w:rPr>
          <w:rFonts w:asciiTheme="minorHAnsi" w:hAnsiTheme="minorHAnsi" w:cstheme="minorHAnsi"/>
          <w:color w:val="auto"/>
        </w:rPr>
      </w:pPr>
      <w:r w:rsidRPr="003774D1">
        <w:rPr>
          <w:rFonts w:asciiTheme="minorHAnsi" w:hAnsiTheme="minorHAnsi" w:cstheme="minorHAnsi"/>
          <w:color w:val="auto"/>
        </w:rPr>
        <w:t>Approximately 8000 MPC patients are on medication therapy for their chronic pain</w:t>
      </w:r>
      <w:r w:rsidR="00B4726E" w:rsidRPr="003774D1">
        <w:rPr>
          <w:rFonts w:asciiTheme="minorHAnsi" w:hAnsiTheme="minorHAnsi" w:cstheme="minorHAnsi"/>
          <w:color w:val="auto"/>
        </w:rPr>
        <w:t>.</w:t>
      </w:r>
      <w:r w:rsidRPr="003774D1">
        <w:rPr>
          <w:rFonts w:asciiTheme="minorHAnsi" w:hAnsiTheme="minorHAnsi" w:cstheme="minorHAnsi"/>
          <w:color w:val="auto"/>
        </w:rPr>
        <w:t xml:space="preserve"> </w:t>
      </w:r>
      <w:r w:rsidR="00B4726E" w:rsidRPr="00BB3A5A">
        <w:rPr>
          <w:rFonts w:asciiTheme="minorHAnsi" w:hAnsiTheme="minorHAnsi" w:cstheme="minorHAnsi"/>
          <w:b/>
          <w:bCs/>
          <w:color w:val="auto"/>
        </w:rPr>
        <w:t>T</w:t>
      </w:r>
      <w:r w:rsidRPr="00BB3A5A">
        <w:rPr>
          <w:rFonts w:asciiTheme="minorHAnsi" w:hAnsiTheme="minorHAnsi" w:cstheme="minorHAnsi"/>
          <w:b/>
          <w:bCs/>
          <w:color w:val="auto"/>
        </w:rPr>
        <w:t>here are not enough pain specialists in the region to assume management of this influx of patients</w:t>
      </w:r>
      <w:r w:rsidR="00B4726E" w:rsidRPr="00BB3A5A">
        <w:rPr>
          <w:rFonts w:asciiTheme="minorHAnsi" w:hAnsiTheme="minorHAnsi" w:cstheme="minorHAnsi"/>
          <w:b/>
          <w:bCs/>
          <w:color w:val="auto"/>
        </w:rPr>
        <w:t xml:space="preserve"> for several months, and perhaps never</w:t>
      </w:r>
      <w:r w:rsidRPr="00BB3A5A">
        <w:rPr>
          <w:rFonts w:asciiTheme="minorHAnsi" w:hAnsiTheme="minorHAnsi" w:cstheme="minorHAnsi"/>
          <w:b/>
          <w:bCs/>
          <w:color w:val="auto"/>
        </w:rPr>
        <w:t xml:space="preserve">. Therefore, </w:t>
      </w:r>
      <w:r w:rsidR="006E3773" w:rsidRPr="00BB3A5A">
        <w:rPr>
          <w:rFonts w:asciiTheme="minorHAnsi" w:hAnsiTheme="minorHAnsi" w:cstheme="minorHAnsi"/>
          <w:b/>
          <w:bCs/>
          <w:color w:val="auto"/>
        </w:rPr>
        <w:t xml:space="preserve">primary care </w:t>
      </w:r>
      <w:r w:rsidR="00F13E5D" w:rsidRPr="00BB3A5A">
        <w:rPr>
          <w:rFonts w:asciiTheme="minorHAnsi" w:hAnsiTheme="minorHAnsi" w:cstheme="minorHAnsi"/>
          <w:b/>
          <w:bCs/>
          <w:color w:val="auto"/>
        </w:rPr>
        <w:t>medical clinician</w:t>
      </w:r>
      <w:r w:rsidR="006E3773" w:rsidRPr="00BB3A5A">
        <w:rPr>
          <w:rFonts w:asciiTheme="minorHAnsi" w:hAnsiTheme="minorHAnsi" w:cstheme="minorHAnsi"/>
          <w:b/>
          <w:bCs/>
          <w:color w:val="auto"/>
        </w:rPr>
        <w:t xml:space="preserve">s </w:t>
      </w:r>
      <w:r w:rsidR="00FF285E" w:rsidRPr="00BB3A5A">
        <w:rPr>
          <w:rFonts w:asciiTheme="minorHAnsi" w:hAnsiTheme="minorHAnsi" w:cstheme="minorHAnsi"/>
          <w:b/>
          <w:bCs/>
          <w:color w:val="auto"/>
        </w:rPr>
        <w:t>(PCPs) will</w:t>
      </w:r>
      <w:r w:rsidR="006E3773" w:rsidRPr="00BB3A5A">
        <w:rPr>
          <w:rFonts w:asciiTheme="minorHAnsi" w:hAnsiTheme="minorHAnsi" w:cstheme="minorHAnsi"/>
          <w:b/>
          <w:bCs/>
          <w:color w:val="auto"/>
        </w:rPr>
        <w:t xml:space="preserve"> inherit these patients</w:t>
      </w:r>
      <w:r w:rsidR="00FF285E" w:rsidRPr="00BB3A5A">
        <w:rPr>
          <w:rFonts w:asciiTheme="minorHAnsi" w:hAnsiTheme="minorHAnsi" w:cstheme="minorHAnsi"/>
          <w:b/>
          <w:bCs/>
          <w:color w:val="auto"/>
        </w:rPr>
        <w:t xml:space="preserve"> – and their pain management plan.</w:t>
      </w:r>
      <w:r w:rsidR="00FF285E" w:rsidRPr="003774D1">
        <w:rPr>
          <w:rFonts w:asciiTheme="minorHAnsi" w:hAnsiTheme="minorHAnsi" w:cstheme="minorHAnsi"/>
          <w:color w:val="auto"/>
        </w:rPr>
        <w:t xml:space="preserve"> PCPs must courageously step into this vacuum and serve our patients in our communities. While we all may not feel “comfortable” with the pain management plans our patients arrive with, we can rapidly gain competence to welcome, support and holistically manage these patients. </w:t>
      </w:r>
    </w:p>
    <w:p w14:paraId="5D268D17" w14:textId="77777777" w:rsidR="00D97B1B" w:rsidRPr="00D97B1B" w:rsidRDefault="00D97B1B" w:rsidP="003774D1">
      <w:pPr>
        <w:autoSpaceDE w:val="0"/>
        <w:autoSpaceDN w:val="0"/>
        <w:adjustRightInd w:val="0"/>
        <w:rPr>
          <w:rFonts w:cstheme="minorHAnsi"/>
          <w:color w:val="000000"/>
          <w:sz w:val="24"/>
          <w:szCs w:val="24"/>
        </w:rPr>
      </w:pPr>
    </w:p>
    <w:p w14:paraId="2AFF8AD1" w14:textId="0150F613" w:rsidR="00D97B1B" w:rsidRDefault="00D97B1B" w:rsidP="003774D1">
      <w:pPr>
        <w:autoSpaceDE w:val="0"/>
        <w:autoSpaceDN w:val="0"/>
        <w:adjustRightInd w:val="0"/>
        <w:rPr>
          <w:rFonts w:cstheme="minorHAnsi"/>
          <w:color w:val="000000"/>
          <w:sz w:val="24"/>
          <w:szCs w:val="24"/>
        </w:rPr>
      </w:pPr>
      <w:r w:rsidRPr="003774D1">
        <w:rPr>
          <w:rFonts w:cstheme="minorHAnsi"/>
          <w:color w:val="000000"/>
          <w:sz w:val="24"/>
          <w:szCs w:val="24"/>
        </w:rPr>
        <w:t>Please remember:</w:t>
      </w:r>
    </w:p>
    <w:p w14:paraId="19FCE908" w14:textId="77777777" w:rsidR="00BB3A5A" w:rsidRPr="00D97B1B" w:rsidRDefault="00BB3A5A" w:rsidP="003774D1">
      <w:pPr>
        <w:autoSpaceDE w:val="0"/>
        <w:autoSpaceDN w:val="0"/>
        <w:adjustRightInd w:val="0"/>
        <w:rPr>
          <w:rFonts w:cstheme="minorHAnsi"/>
          <w:color w:val="000000"/>
          <w:sz w:val="24"/>
          <w:szCs w:val="24"/>
        </w:rPr>
      </w:pPr>
    </w:p>
    <w:p w14:paraId="66B910EE" w14:textId="2C9B6584" w:rsidR="00D97B1B" w:rsidRPr="00693D42" w:rsidRDefault="00D97B1B" w:rsidP="00693D42">
      <w:pPr>
        <w:pStyle w:val="ListParagraph"/>
        <w:numPr>
          <w:ilvl w:val="3"/>
          <w:numId w:val="11"/>
        </w:numPr>
        <w:autoSpaceDE w:val="0"/>
        <w:autoSpaceDN w:val="0"/>
        <w:adjustRightInd w:val="0"/>
        <w:ind w:left="360"/>
        <w:rPr>
          <w:rFonts w:cstheme="minorHAnsi"/>
          <w:color w:val="000000"/>
          <w:sz w:val="24"/>
          <w:szCs w:val="24"/>
        </w:rPr>
      </w:pPr>
      <w:r w:rsidRPr="00693D42">
        <w:rPr>
          <w:rFonts w:cstheme="minorHAnsi"/>
          <w:color w:val="000000"/>
          <w:sz w:val="24"/>
          <w:szCs w:val="24"/>
        </w:rPr>
        <w:t>When patients suddenly lose access to their healthcare provider, they may feel they have no other options but to turn to other sources</w:t>
      </w:r>
      <w:r w:rsidR="00226587" w:rsidRPr="00693D42">
        <w:rPr>
          <w:rFonts w:cstheme="minorHAnsi"/>
          <w:color w:val="000000"/>
          <w:sz w:val="24"/>
          <w:szCs w:val="24"/>
        </w:rPr>
        <w:t xml:space="preserve"> (including street drugs)</w:t>
      </w:r>
      <w:r w:rsidRPr="00693D42">
        <w:rPr>
          <w:rFonts w:cstheme="minorHAnsi"/>
          <w:color w:val="000000"/>
          <w:sz w:val="24"/>
          <w:szCs w:val="24"/>
        </w:rPr>
        <w:t xml:space="preserve"> to avoid withdrawal. </w:t>
      </w:r>
      <w:r w:rsidR="00226587" w:rsidRPr="00693D42">
        <w:rPr>
          <w:rFonts w:cstheme="minorHAnsi"/>
          <w:color w:val="000000"/>
          <w:sz w:val="24"/>
          <w:szCs w:val="24"/>
        </w:rPr>
        <w:t>As we</w:t>
      </w:r>
      <w:r w:rsidRPr="00693D42">
        <w:rPr>
          <w:rFonts w:cstheme="minorHAnsi"/>
          <w:color w:val="000000"/>
          <w:sz w:val="24"/>
          <w:szCs w:val="24"/>
        </w:rPr>
        <w:t xml:space="preserve"> </w:t>
      </w:r>
      <w:r w:rsidR="00226587" w:rsidRPr="00693D42">
        <w:rPr>
          <w:rFonts w:cstheme="minorHAnsi"/>
          <w:color w:val="000000"/>
          <w:sz w:val="24"/>
          <w:szCs w:val="24"/>
        </w:rPr>
        <w:t xml:space="preserve">(PCPs) </w:t>
      </w:r>
      <w:r w:rsidRPr="00693D42">
        <w:rPr>
          <w:rFonts w:cstheme="minorHAnsi"/>
          <w:color w:val="000000"/>
          <w:sz w:val="24"/>
          <w:szCs w:val="24"/>
        </w:rPr>
        <w:t>recei</w:t>
      </w:r>
      <w:r w:rsidR="00226587" w:rsidRPr="00693D42">
        <w:rPr>
          <w:rFonts w:cstheme="minorHAnsi"/>
          <w:color w:val="000000"/>
          <w:sz w:val="24"/>
          <w:szCs w:val="24"/>
        </w:rPr>
        <w:t>ve</w:t>
      </w:r>
      <w:r w:rsidRPr="00693D42">
        <w:rPr>
          <w:rFonts w:cstheme="minorHAnsi"/>
          <w:color w:val="000000"/>
          <w:sz w:val="24"/>
          <w:szCs w:val="24"/>
        </w:rPr>
        <w:t xml:space="preserve"> and serv</w:t>
      </w:r>
      <w:r w:rsidR="00226587" w:rsidRPr="00693D42">
        <w:rPr>
          <w:rFonts w:cstheme="minorHAnsi"/>
          <w:color w:val="000000"/>
          <w:sz w:val="24"/>
          <w:szCs w:val="24"/>
        </w:rPr>
        <w:t xml:space="preserve">e MPC </w:t>
      </w:r>
      <w:r w:rsidRPr="00693D42">
        <w:rPr>
          <w:rFonts w:cstheme="minorHAnsi"/>
          <w:color w:val="000000"/>
          <w:sz w:val="24"/>
          <w:szCs w:val="24"/>
        </w:rPr>
        <w:t>patients</w:t>
      </w:r>
      <w:r w:rsidR="00226587" w:rsidRPr="00693D42">
        <w:rPr>
          <w:rFonts w:cstheme="minorHAnsi"/>
          <w:color w:val="000000"/>
          <w:sz w:val="24"/>
          <w:szCs w:val="24"/>
        </w:rPr>
        <w:t xml:space="preserve">, we will </w:t>
      </w:r>
      <w:r w:rsidR="00226587" w:rsidRPr="00693D42">
        <w:rPr>
          <w:rFonts w:cstheme="minorHAnsi"/>
          <w:color w:val="000000"/>
          <w:sz w:val="24"/>
          <w:szCs w:val="24"/>
          <w:u w:val="single"/>
        </w:rPr>
        <w:t>save lives</w:t>
      </w:r>
      <w:r w:rsidR="00226587" w:rsidRPr="00693D42">
        <w:rPr>
          <w:rFonts w:cstheme="minorHAnsi"/>
          <w:color w:val="000000"/>
          <w:sz w:val="24"/>
          <w:szCs w:val="24"/>
        </w:rPr>
        <w:t>.</w:t>
      </w:r>
    </w:p>
    <w:p w14:paraId="593BA139" w14:textId="77777777" w:rsidR="00693D42" w:rsidRDefault="00BB3A5A" w:rsidP="00693D42">
      <w:pPr>
        <w:pStyle w:val="ListParagraph"/>
        <w:numPr>
          <w:ilvl w:val="3"/>
          <w:numId w:val="11"/>
        </w:numPr>
        <w:autoSpaceDE w:val="0"/>
        <w:autoSpaceDN w:val="0"/>
        <w:adjustRightInd w:val="0"/>
        <w:ind w:left="360"/>
        <w:rPr>
          <w:rFonts w:cstheme="minorHAnsi"/>
          <w:color w:val="000000"/>
          <w:sz w:val="24"/>
          <w:szCs w:val="24"/>
        </w:rPr>
      </w:pPr>
      <w:r w:rsidRPr="00693D42">
        <w:rPr>
          <w:rFonts w:cstheme="minorHAnsi"/>
          <w:color w:val="000000"/>
          <w:sz w:val="24"/>
          <w:szCs w:val="24"/>
        </w:rPr>
        <w:t xml:space="preserve">We can </w:t>
      </w:r>
      <w:r w:rsidR="00693D42">
        <w:rPr>
          <w:rFonts w:cstheme="minorHAnsi"/>
          <w:color w:val="000000"/>
          <w:sz w:val="24"/>
          <w:szCs w:val="24"/>
        </w:rPr>
        <w:t>“</w:t>
      </w:r>
      <w:r w:rsidRPr="00693D42">
        <w:rPr>
          <w:rFonts w:cstheme="minorHAnsi"/>
          <w:color w:val="000000"/>
          <w:sz w:val="24"/>
          <w:szCs w:val="24"/>
        </w:rPr>
        <w:t>assume good intent</w:t>
      </w:r>
      <w:r w:rsidR="00693D42">
        <w:rPr>
          <w:rFonts w:cstheme="minorHAnsi"/>
          <w:color w:val="000000"/>
          <w:sz w:val="24"/>
          <w:szCs w:val="24"/>
        </w:rPr>
        <w:t>”</w:t>
      </w:r>
      <w:r w:rsidRPr="00693D42">
        <w:rPr>
          <w:rFonts w:cstheme="minorHAnsi"/>
          <w:color w:val="000000"/>
          <w:sz w:val="24"/>
          <w:szCs w:val="24"/>
        </w:rPr>
        <w:t xml:space="preserve"> of MPC</w:t>
      </w:r>
      <w:r w:rsidR="00693D42" w:rsidRPr="00693D42">
        <w:rPr>
          <w:rFonts w:cstheme="minorHAnsi"/>
          <w:color w:val="000000"/>
          <w:sz w:val="24"/>
          <w:szCs w:val="24"/>
        </w:rPr>
        <w:t xml:space="preserve"> clinicians and their patient</w:t>
      </w:r>
      <w:r w:rsidRPr="00693D42">
        <w:rPr>
          <w:rFonts w:cstheme="minorHAnsi"/>
          <w:color w:val="000000"/>
          <w:sz w:val="24"/>
          <w:szCs w:val="24"/>
        </w:rPr>
        <w:t xml:space="preserve"> treatment plans</w:t>
      </w:r>
      <w:r w:rsidR="00693D42" w:rsidRPr="00693D42">
        <w:rPr>
          <w:rFonts w:cstheme="minorHAnsi"/>
          <w:color w:val="000000"/>
          <w:sz w:val="24"/>
          <w:szCs w:val="24"/>
        </w:rPr>
        <w:t xml:space="preserve">. </w:t>
      </w:r>
    </w:p>
    <w:p w14:paraId="42CD4268" w14:textId="545197DB" w:rsidR="00693D42" w:rsidRPr="00693D42" w:rsidRDefault="00693D42" w:rsidP="00693D42">
      <w:pPr>
        <w:pStyle w:val="ListParagraph"/>
        <w:numPr>
          <w:ilvl w:val="3"/>
          <w:numId w:val="11"/>
        </w:numPr>
        <w:autoSpaceDE w:val="0"/>
        <w:autoSpaceDN w:val="0"/>
        <w:adjustRightInd w:val="0"/>
        <w:ind w:left="360"/>
        <w:rPr>
          <w:rFonts w:cstheme="minorHAnsi"/>
          <w:color w:val="000000"/>
          <w:sz w:val="24"/>
          <w:szCs w:val="24"/>
        </w:rPr>
      </w:pPr>
      <w:r w:rsidRPr="00693D42">
        <w:rPr>
          <w:rFonts w:cstheme="minorHAnsi"/>
          <w:color w:val="000000"/>
          <w:sz w:val="24"/>
          <w:szCs w:val="24"/>
        </w:rPr>
        <w:t xml:space="preserve">We can verify patients’ prescribing history via </w:t>
      </w:r>
      <w:r w:rsidRPr="00693D42">
        <w:rPr>
          <w:rFonts w:cstheme="minorHAnsi"/>
          <w:sz w:val="24"/>
          <w:szCs w:val="24"/>
        </w:rPr>
        <w:t>the Michigan Automated Prescription System (MAPS). This collects information on all filled p</w:t>
      </w:r>
      <w:r w:rsidRPr="00693D42">
        <w:rPr>
          <w:rFonts w:cstheme="minorHAnsi"/>
          <w:color w:val="000000"/>
          <w:sz w:val="24"/>
          <w:szCs w:val="24"/>
        </w:rPr>
        <w:t xml:space="preserve">rescriptions for controlled substances and is a useful tool for medical clinicians to view a patient’s prescribing history </w:t>
      </w:r>
      <w:proofErr w:type="gramStart"/>
      <w:r w:rsidRPr="00693D42">
        <w:rPr>
          <w:rFonts w:cstheme="minorHAnsi"/>
          <w:color w:val="000000"/>
          <w:sz w:val="24"/>
          <w:szCs w:val="24"/>
        </w:rPr>
        <w:t>in order to</w:t>
      </w:r>
      <w:proofErr w:type="gramEnd"/>
      <w:r w:rsidRPr="00693D42">
        <w:rPr>
          <w:rFonts w:cstheme="minorHAnsi"/>
          <w:color w:val="000000"/>
          <w:sz w:val="24"/>
          <w:szCs w:val="24"/>
        </w:rPr>
        <w:t xml:space="preserve"> make informed clinical decisions. </w:t>
      </w:r>
    </w:p>
    <w:p w14:paraId="78DDC980" w14:textId="57797708" w:rsidR="00BB3A5A" w:rsidRPr="00D97B1B" w:rsidRDefault="00BB3A5A" w:rsidP="00693D42">
      <w:pPr>
        <w:autoSpaceDE w:val="0"/>
        <w:autoSpaceDN w:val="0"/>
        <w:adjustRightInd w:val="0"/>
        <w:rPr>
          <w:rFonts w:cstheme="minorHAnsi"/>
          <w:color w:val="000000"/>
          <w:sz w:val="24"/>
          <w:szCs w:val="24"/>
        </w:rPr>
      </w:pPr>
    </w:p>
    <w:p w14:paraId="106FC6D0" w14:textId="4EFC4190" w:rsidR="00693D42" w:rsidRPr="00693D42" w:rsidRDefault="00D97B1B" w:rsidP="00693D42">
      <w:pPr>
        <w:pStyle w:val="ListParagraph"/>
        <w:numPr>
          <w:ilvl w:val="3"/>
          <w:numId w:val="11"/>
        </w:numPr>
        <w:autoSpaceDE w:val="0"/>
        <w:autoSpaceDN w:val="0"/>
        <w:adjustRightInd w:val="0"/>
        <w:ind w:left="360"/>
        <w:rPr>
          <w:rFonts w:cstheme="minorHAnsi"/>
          <w:color w:val="000000"/>
          <w:sz w:val="24"/>
          <w:szCs w:val="24"/>
        </w:rPr>
      </w:pPr>
      <w:r w:rsidRPr="00693D42">
        <w:rPr>
          <w:rFonts w:cstheme="minorHAnsi"/>
          <w:color w:val="000000"/>
          <w:sz w:val="24"/>
          <w:szCs w:val="24"/>
        </w:rPr>
        <w:lastRenderedPageBreak/>
        <w:t xml:space="preserve">Patients may not have access to their medical records; </w:t>
      </w:r>
      <w:r w:rsidR="00693D42" w:rsidRPr="00693D42">
        <w:rPr>
          <w:rFonts w:cstheme="minorHAnsi"/>
          <w:sz w:val="24"/>
          <w:szCs w:val="24"/>
        </w:rPr>
        <w:t>we may not have access to MPC records, but we have MAPS, the patient interview, and our internal clinical team.</w:t>
      </w:r>
    </w:p>
    <w:p w14:paraId="69E64331" w14:textId="0453CA0C" w:rsidR="00D97B1B" w:rsidRPr="00693D42" w:rsidRDefault="00D97B1B" w:rsidP="00693D42">
      <w:pPr>
        <w:pStyle w:val="ListParagraph"/>
        <w:numPr>
          <w:ilvl w:val="3"/>
          <w:numId w:val="11"/>
        </w:numPr>
        <w:autoSpaceDE w:val="0"/>
        <w:autoSpaceDN w:val="0"/>
        <w:adjustRightInd w:val="0"/>
        <w:ind w:left="360"/>
        <w:rPr>
          <w:rFonts w:cstheme="minorHAnsi"/>
          <w:color w:val="000000"/>
          <w:sz w:val="24"/>
          <w:szCs w:val="24"/>
        </w:rPr>
      </w:pPr>
      <w:r w:rsidRPr="00693D42">
        <w:rPr>
          <w:rFonts w:cstheme="minorHAnsi"/>
          <w:color w:val="000000"/>
          <w:sz w:val="24"/>
          <w:szCs w:val="24"/>
        </w:rPr>
        <w:t>Physical dependence alone does not constitute a substance use disorder.</w:t>
      </w:r>
    </w:p>
    <w:p w14:paraId="0665D3F4" w14:textId="77777777" w:rsidR="0026481F" w:rsidRPr="003774D1" w:rsidRDefault="0026481F" w:rsidP="003774D1">
      <w:pPr>
        <w:pStyle w:val="Default"/>
        <w:rPr>
          <w:rFonts w:asciiTheme="minorHAnsi" w:hAnsiTheme="minorHAnsi" w:cstheme="minorHAnsi"/>
          <w:color w:val="auto"/>
        </w:rPr>
      </w:pPr>
    </w:p>
    <w:p w14:paraId="40939018" w14:textId="608AE0B7" w:rsidR="006E3773" w:rsidRPr="003774D1" w:rsidRDefault="00FF285E" w:rsidP="003774D1">
      <w:pPr>
        <w:pStyle w:val="Default"/>
        <w:rPr>
          <w:rFonts w:asciiTheme="minorHAnsi" w:hAnsiTheme="minorHAnsi" w:cstheme="minorHAnsi"/>
          <w:color w:val="auto"/>
        </w:rPr>
      </w:pPr>
      <w:r w:rsidRPr="003774D1">
        <w:rPr>
          <w:rFonts w:asciiTheme="minorHAnsi" w:hAnsiTheme="minorHAnsi" w:cstheme="minorHAnsi"/>
          <w:color w:val="auto"/>
        </w:rPr>
        <w:t xml:space="preserve">As MPC patients seek medical management </w:t>
      </w:r>
      <w:r w:rsidR="0026481F">
        <w:rPr>
          <w:rFonts w:asciiTheme="minorHAnsi" w:hAnsiTheme="minorHAnsi" w:cstheme="minorHAnsi"/>
          <w:color w:val="auto"/>
        </w:rPr>
        <w:t xml:space="preserve">for </w:t>
      </w:r>
      <w:r w:rsidRPr="003774D1">
        <w:rPr>
          <w:rFonts w:asciiTheme="minorHAnsi" w:hAnsiTheme="minorHAnsi" w:cstheme="minorHAnsi"/>
          <w:color w:val="auto"/>
        </w:rPr>
        <w:t>their pain in primary care spaces, apply</w:t>
      </w:r>
      <w:r w:rsidR="006E3773" w:rsidRPr="003774D1">
        <w:rPr>
          <w:rFonts w:asciiTheme="minorHAnsi" w:hAnsiTheme="minorHAnsi" w:cstheme="minorHAnsi"/>
          <w:color w:val="auto"/>
        </w:rPr>
        <w:t xml:space="preserve"> these best practices: </w:t>
      </w:r>
    </w:p>
    <w:p w14:paraId="780BD0A4" w14:textId="0BDC31FC" w:rsidR="006E3773" w:rsidRPr="003774D1" w:rsidRDefault="006E3773" w:rsidP="003774D1">
      <w:pPr>
        <w:pStyle w:val="Default"/>
        <w:numPr>
          <w:ilvl w:val="0"/>
          <w:numId w:val="1"/>
        </w:numPr>
        <w:rPr>
          <w:rFonts w:asciiTheme="minorHAnsi" w:hAnsiTheme="minorHAnsi" w:cstheme="minorHAnsi"/>
          <w:color w:val="auto"/>
        </w:rPr>
      </w:pPr>
      <w:r w:rsidRPr="003774D1">
        <w:rPr>
          <w:rFonts w:asciiTheme="minorHAnsi" w:hAnsiTheme="minorHAnsi" w:cstheme="minorHAnsi"/>
          <w:color w:val="auto"/>
        </w:rPr>
        <w:t xml:space="preserve">Continue opioid therapy for patients in transition. </w:t>
      </w:r>
    </w:p>
    <w:p w14:paraId="7850214E" w14:textId="2B081D31" w:rsidR="006E3773" w:rsidRPr="003774D1" w:rsidRDefault="006E3773" w:rsidP="003774D1">
      <w:pPr>
        <w:pStyle w:val="Default"/>
        <w:numPr>
          <w:ilvl w:val="0"/>
          <w:numId w:val="1"/>
        </w:numPr>
        <w:rPr>
          <w:rFonts w:asciiTheme="minorHAnsi" w:hAnsiTheme="minorHAnsi" w:cstheme="minorHAnsi"/>
          <w:color w:val="auto"/>
        </w:rPr>
      </w:pPr>
      <w:r w:rsidRPr="003774D1">
        <w:rPr>
          <w:rFonts w:asciiTheme="minorHAnsi" w:hAnsiTheme="minorHAnsi" w:cstheme="minorHAnsi"/>
          <w:color w:val="auto"/>
        </w:rPr>
        <w:t xml:space="preserve">Develop a patient-centered, individualized care plan. </w:t>
      </w:r>
    </w:p>
    <w:p w14:paraId="351AA5BF" w14:textId="71549A31" w:rsidR="006E3773" w:rsidRPr="003774D1" w:rsidRDefault="006E3773" w:rsidP="003774D1">
      <w:pPr>
        <w:pStyle w:val="Default"/>
        <w:numPr>
          <w:ilvl w:val="0"/>
          <w:numId w:val="1"/>
        </w:numPr>
        <w:rPr>
          <w:rFonts w:asciiTheme="minorHAnsi" w:hAnsiTheme="minorHAnsi" w:cstheme="minorHAnsi"/>
          <w:color w:val="auto"/>
        </w:rPr>
      </w:pPr>
      <w:r w:rsidRPr="003774D1">
        <w:rPr>
          <w:rFonts w:asciiTheme="minorHAnsi" w:hAnsiTheme="minorHAnsi" w:cstheme="minorHAnsi"/>
          <w:color w:val="auto"/>
        </w:rPr>
        <w:t xml:space="preserve">Use caution when tapering opioid therapy. </w:t>
      </w:r>
    </w:p>
    <w:p w14:paraId="5A556654" w14:textId="55AC4F3F" w:rsidR="006E3773" w:rsidRPr="003774D1" w:rsidRDefault="006E3773" w:rsidP="003774D1">
      <w:pPr>
        <w:pStyle w:val="Default"/>
        <w:numPr>
          <w:ilvl w:val="0"/>
          <w:numId w:val="1"/>
        </w:numPr>
        <w:rPr>
          <w:rFonts w:asciiTheme="minorHAnsi" w:hAnsiTheme="minorHAnsi" w:cstheme="minorHAnsi"/>
          <w:color w:val="auto"/>
        </w:rPr>
      </w:pPr>
      <w:r w:rsidRPr="003774D1">
        <w:rPr>
          <w:rFonts w:asciiTheme="minorHAnsi" w:hAnsiTheme="minorHAnsi" w:cstheme="minorHAnsi"/>
          <w:color w:val="auto"/>
        </w:rPr>
        <w:t xml:space="preserve">Document patient care decisions. </w:t>
      </w:r>
    </w:p>
    <w:p w14:paraId="19438B78" w14:textId="4E69110F" w:rsidR="006E3773" w:rsidRPr="003774D1" w:rsidRDefault="006E3773" w:rsidP="003774D1">
      <w:pPr>
        <w:pStyle w:val="Default"/>
        <w:numPr>
          <w:ilvl w:val="0"/>
          <w:numId w:val="1"/>
        </w:numPr>
        <w:rPr>
          <w:rFonts w:asciiTheme="minorHAnsi" w:hAnsiTheme="minorHAnsi" w:cstheme="minorHAnsi"/>
          <w:color w:val="auto"/>
        </w:rPr>
      </w:pPr>
      <w:r w:rsidRPr="003774D1">
        <w:rPr>
          <w:rFonts w:asciiTheme="minorHAnsi" w:hAnsiTheme="minorHAnsi" w:cstheme="minorHAnsi"/>
          <w:color w:val="auto"/>
        </w:rPr>
        <w:t xml:space="preserve">Prescribe buprenorphine when appropriate. </w:t>
      </w:r>
    </w:p>
    <w:p w14:paraId="4F4A4419" w14:textId="77777777" w:rsidR="006E3773" w:rsidRPr="003774D1" w:rsidRDefault="006E3773" w:rsidP="003774D1">
      <w:pPr>
        <w:pStyle w:val="Default"/>
        <w:rPr>
          <w:rFonts w:asciiTheme="minorHAnsi" w:hAnsiTheme="minorHAnsi" w:cstheme="minorHAnsi"/>
          <w:i/>
          <w:iCs/>
          <w:color w:val="auto"/>
        </w:rPr>
      </w:pPr>
    </w:p>
    <w:p w14:paraId="6CCE1219" w14:textId="6CF46458" w:rsidR="00F13E5D" w:rsidRPr="003774D1" w:rsidRDefault="006E3773" w:rsidP="003774D1">
      <w:pPr>
        <w:pStyle w:val="Default"/>
        <w:numPr>
          <w:ilvl w:val="0"/>
          <w:numId w:val="3"/>
        </w:numPr>
        <w:rPr>
          <w:rFonts w:asciiTheme="minorHAnsi" w:hAnsiTheme="minorHAnsi" w:cstheme="minorHAnsi"/>
          <w:color w:val="auto"/>
        </w:rPr>
      </w:pPr>
      <w:r w:rsidRPr="003774D1">
        <w:rPr>
          <w:rFonts w:asciiTheme="minorHAnsi" w:hAnsiTheme="minorHAnsi" w:cstheme="minorHAnsi"/>
          <w:b/>
          <w:bCs/>
          <w:i/>
          <w:iCs/>
          <w:color w:val="auto"/>
        </w:rPr>
        <w:t>Continue Opioid Therapy for Patients in Transition:</w:t>
      </w:r>
      <w:r w:rsidRPr="003774D1">
        <w:rPr>
          <w:rFonts w:asciiTheme="minorHAnsi" w:hAnsiTheme="minorHAnsi" w:cstheme="minorHAnsi"/>
          <w:b/>
          <w:bCs/>
          <w:color w:val="auto"/>
        </w:rPr>
        <w:t xml:space="preserve"> </w:t>
      </w:r>
      <w:r w:rsidR="00FF285E" w:rsidRPr="003774D1">
        <w:rPr>
          <w:rFonts w:asciiTheme="minorHAnsi" w:hAnsiTheme="minorHAnsi" w:cstheme="minorHAnsi"/>
          <w:color w:val="auto"/>
        </w:rPr>
        <w:t xml:space="preserve">In </w:t>
      </w:r>
      <w:r w:rsidR="00FF285E" w:rsidRPr="00693D42">
        <w:rPr>
          <w:rFonts w:asciiTheme="minorHAnsi" w:hAnsiTheme="minorHAnsi" w:cstheme="minorHAnsi"/>
          <w:color w:val="auto"/>
          <w:u w:val="single"/>
        </w:rPr>
        <w:t>f</w:t>
      </w:r>
      <w:r w:rsidRPr="00693D42">
        <w:rPr>
          <w:rFonts w:asciiTheme="minorHAnsi" w:hAnsiTheme="minorHAnsi" w:cstheme="minorHAnsi"/>
          <w:color w:val="auto"/>
          <w:u w:val="single"/>
        </w:rPr>
        <w:t xml:space="preserve">ollowing </w:t>
      </w:r>
      <w:r w:rsidR="0026481F" w:rsidRPr="00693D42">
        <w:rPr>
          <w:rFonts w:asciiTheme="minorHAnsi" w:hAnsiTheme="minorHAnsi" w:cstheme="minorHAnsi"/>
          <w:color w:val="auto"/>
          <w:u w:val="single"/>
        </w:rPr>
        <w:t xml:space="preserve">CDC </w:t>
      </w:r>
      <w:r w:rsidRPr="00693D42">
        <w:rPr>
          <w:rFonts w:asciiTheme="minorHAnsi" w:hAnsiTheme="minorHAnsi" w:cstheme="minorHAnsi"/>
          <w:color w:val="auto"/>
          <w:u w:val="single"/>
        </w:rPr>
        <w:t xml:space="preserve">clinical guidelines for safe opioid prescribing, </w:t>
      </w:r>
      <w:r w:rsidR="00FF285E" w:rsidRPr="00693D42">
        <w:rPr>
          <w:rFonts w:asciiTheme="minorHAnsi" w:hAnsiTheme="minorHAnsi" w:cstheme="minorHAnsi"/>
          <w:color w:val="auto"/>
          <w:u w:val="single"/>
        </w:rPr>
        <w:t>medical clinicians</w:t>
      </w:r>
      <w:r w:rsidRPr="00693D42">
        <w:rPr>
          <w:rFonts w:asciiTheme="minorHAnsi" w:hAnsiTheme="minorHAnsi" w:cstheme="minorHAnsi"/>
          <w:color w:val="auto"/>
          <w:u w:val="single"/>
        </w:rPr>
        <w:t xml:space="preserve"> are encouraged to consider providing opioids to patients during transitions to avoid dangerous disruptions in care</w:t>
      </w:r>
      <w:r w:rsidRPr="003774D1">
        <w:rPr>
          <w:rFonts w:asciiTheme="minorHAnsi" w:hAnsiTheme="minorHAnsi" w:cstheme="minorHAnsi"/>
          <w:color w:val="auto"/>
        </w:rPr>
        <w:t xml:space="preserve">. While many </w:t>
      </w:r>
      <w:r w:rsidR="00F13E5D" w:rsidRPr="003774D1">
        <w:rPr>
          <w:rFonts w:asciiTheme="minorHAnsi" w:hAnsiTheme="minorHAnsi" w:cstheme="minorHAnsi"/>
          <w:color w:val="auto"/>
        </w:rPr>
        <w:t>medical clinician</w:t>
      </w:r>
      <w:r w:rsidRPr="003774D1">
        <w:rPr>
          <w:rFonts w:asciiTheme="minorHAnsi" w:hAnsiTheme="minorHAnsi" w:cstheme="minorHAnsi"/>
          <w:color w:val="auto"/>
        </w:rPr>
        <w:t xml:space="preserve">s may not have chosen to start opioids for a given chronic pain condition, stopping opioid therapy is different due to the physiological changes brought on by long-term opioid therapy. Stopping opioid therapy has been shown to increase illicit opioid use, emergency medical care utilization, mental health crises, </w:t>
      </w:r>
      <w:r w:rsidR="00226587" w:rsidRPr="003774D1">
        <w:rPr>
          <w:rFonts w:asciiTheme="minorHAnsi" w:hAnsiTheme="minorHAnsi" w:cstheme="minorHAnsi"/>
          <w:color w:val="auto"/>
        </w:rPr>
        <w:t>medically attended</w:t>
      </w:r>
      <w:r w:rsidRPr="003774D1">
        <w:rPr>
          <w:rFonts w:asciiTheme="minorHAnsi" w:hAnsiTheme="minorHAnsi" w:cstheme="minorHAnsi"/>
          <w:color w:val="auto"/>
        </w:rPr>
        <w:t xml:space="preserve"> overdose events, and death from overdose and suicide. It may be necessary and medically appropriate to continue opioid therapy, particularly if a patient will have a prolonged wait to see a pain management specialist. Whenever possible, discuss the patient’s history with their former </w:t>
      </w:r>
      <w:r w:rsidR="00F13E5D" w:rsidRPr="003774D1">
        <w:rPr>
          <w:rFonts w:asciiTheme="minorHAnsi" w:hAnsiTheme="minorHAnsi" w:cstheme="minorHAnsi"/>
          <w:color w:val="auto"/>
        </w:rPr>
        <w:t>medical clinician</w:t>
      </w:r>
      <w:r w:rsidRPr="003774D1">
        <w:rPr>
          <w:rFonts w:asciiTheme="minorHAnsi" w:hAnsiTheme="minorHAnsi" w:cstheme="minorHAnsi"/>
          <w:color w:val="auto"/>
        </w:rPr>
        <w:t xml:space="preserve">, complete baseline assessments of pain, review expectations for opioid prescribing, and start discussing treatment for opioid use disorder (OUD) if appropriate. </w:t>
      </w:r>
    </w:p>
    <w:p w14:paraId="2FD93BF1" w14:textId="77777777" w:rsidR="00B4726E" w:rsidRPr="003774D1" w:rsidRDefault="00B4726E" w:rsidP="003774D1">
      <w:pPr>
        <w:pStyle w:val="Default"/>
        <w:ind w:left="360"/>
        <w:rPr>
          <w:rFonts w:asciiTheme="minorHAnsi" w:hAnsiTheme="minorHAnsi" w:cstheme="minorHAnsi"/>
          <w:color w:val="auto"/>
        </w:rPr>
      </w:pPr>
    </w:p>
    <w:p w14:paraId="646F0322" w14:textId="6580009E" w:rsidR="003774D1" w:rsidRPr="003774D1" w:rsidRDefault="006E3773" w:rsidP="003774D1">
      <w:pPr>
        <w:pStyle w:val="Default"/>
        <w:numPr>
          <w:ilvl w:val="0"/>
          <w:numId w:val="3"/>
        </w:numPr>
        <w:rPr>
          <w:rFonts w:asciiTheme="minorHAnsi" w:hAnsiTheme="minorHAnsi" w:cstheme="minorHAnsi"/>
          <w:color w:val="auto"/>
        </w:rPr>
      </w:pPr>
      <w:r w:rsidRPr="003774D1">
        <w:rPr>
          <w:rFonts w:asciiTheme="minorHAnsi" w:hAnsiTheme="minorHAnsi" w:cstheme="minorHAnsi"/>
          <w:b/>
          <w:bCs/>
          <w:i/>
          <w:iCs/>
          <w:color w:val="auto"/>
        </w:rPr>
        <w:t xml:space="preserve">Develop a Patient-Centered, Individualized Care Plan: </w:t>
      </w:r>
      <w:r w:rsidRPr="003774D1">
        <w:rPr>
          <w:rFonts w:asciiTheme="minorHAnsi" w:hAnsiTheme="minorHAnsi" w:cstheme="minorHAnsi"/>
          <w:color w:val="auto"/>
        </w:rPr>
        <w:t xml:space="preserve">Develop an individualized plan in collaboration with the patient for continuing opioid therapy, tapering down or </w:t>
      </w:r>
      <w:proofErr w:type="gramStart"/>
      <w:r w:rsidRPr="003774D1">
        <w:rPr>
          <w:rFonts w:asciiTheme="minorHAnsi" w:hAnsiTheme="minorHAnsi" w:cstheme="minorHAnsi"/>
          <w:color w:val="auto"/>
        </w:rPr>
        <w:t>off of</w:t>
      </w:r>
      <w:proofErr w:type="gramEnd"/>
      <w:r w:rsidRPr="003774D1">
        <w:rPr>
          <w:rFonts w:asciiTheme="minorHAnsi" w:hAnsiTheme="minorHAnsi" w:cstheme="minorHAnsi"/>
          <w:color w:val="auto"/>
        </w:rPr>
        <w:t xml:space="preserve"> opioid therapy, or transitioning to buprenorphine</w:t>
      </w:r>
      <w:r w:rsidR="00F13E5D" w:rsidRPr="003774D1">
        <w:rPr>
          <w:rFonts w:asciiTheme="minorHAnsi" w:hAnsiTheme="minorHAnsi" w:cstheme="minorHAnsi"/>
          <w:color w:val="auto"/>
        </w:rPr>
        <w:t xml:space="preserve"> to manage chronic pain</w:t>
      </w:r>
      <w:r w:rsidRPr="003774D1">
        <w:rPr>
          <w:rFonts w:asciiTheme="minorHAnsi" w:hAnsiTheme="minorHAnsi" w:cstheme="minorHAnsi"/>
          <w:color w:val="auto"/>
        </w:rPr>
        <w:t xml:space="preserve">. Engage the patient and include discussions around social issues and support, mental health services, alternative pain management strategies, and overdose risk. Consider the patient’s perceived risks and benefits of opioid therapy. </w:t>
      </w:r>
    </w:p>
    <w:p w14:paraId="11D826B7" w14:textId="77777777" w:rsidR="003774D1" w:rsidRPr="003774D1" w:rsidRDefault="003774D1" w:rsidP="003774D1">
      <w:pPr>
        <w:numPr>
          <w:ilvl w:val="0"/>
          <w:numId w:val="10"/>
        </w:numPr>
        <w:autoSpaceDE w:val="0"/>
        <w:autoSpaceDN w:val="0"/>
        <w:adjustRightInd w:val="0"/>
        <w:rPr>
          <w:rFonts w:cstheme="minorHAnsi"/>
          <w:color w:val="000000"/>
          <w:sz w:val="24"/>
          <w:szCs w:val="24"/>
        </w:rPr>
      </w:pPr>
      <w:r w:rsidRPr="003774D1">
        <w:rPr>
          <w:rFonts w:cstheme="minorHAnsi"/>
          <w:color w:val="000000"/>
          <w:sz w:val="24"/>
          <w:szCs w:val="24"/>
        </w:rPr>
        <w:t xml:space="preserve">Determine if the patient’s current treatment is still providing a clinical benefit. If not, consider an individualized tapering plan to reduce their symptoms of withdrawal. </w:t>
      </w:r>
    </w:p>
    <w:p w14:paraId="2C51FB85" w14:textId="701F3331" w:rsidR="003774D1" w:rsidRPr="003774D1" w:rsidRDefault="003774D1" w:rsidP="003774D1">
      <w:pPr>
        <w:numPr>
          <w:ilvl w:val="0"/>
          <w:numId w:val="10"/>
        </w:numPr>
        <w:autoSpaceDE w:val="0"/>
        <w:autoSpaceDN w:val="0"/>
        <w:adjustRightInd w:val="0"/>
        <w:rPr>
          <w:rFonts w:cstheme="minorHAnsi"/>
          <w:color w:val="000000"/>
          <w:sz w:val="24"/>
          <w:szCs w:val="24"/>
        </w:rPr>
      </w:pPr>
      <w:r w:rsidRPr="003774D1">
        <w:rPr>
          <w:rFonts w:cstheme="minorHAnsi"/>
          <w:color w:val="000000"/>
          <w:sz w:val="24"/>
          <w:szCs w:val="24"/>
        </w:rPr>
        <w:t xml:space="preserve">Providers may consider a </w:t>
      </w:r>
      <w:r w:rsidR="0026481F" w:rsidRPr="003774D1">
        <w:rPr>
          <w:rFonts w:cstheme="minorHAnsi"/>
          <w:color w:val="000000"/>
          <w:sz w:val="24"/>
          <w:szCs w:val="24"/>
        </w:rPr>
        <w:t>benzodiazepine dose reduction plan</w:t>
      </w:r>
      <w:r w:rsidR="0026481F">
        <w:rPr>
          <w:rFonts w:cstheme="minorHAnsi"/>
          <w:color w:val="000000"/>
          <w:sz w:val="24"/>
          <w:szCs w:val="24"/>
        </w:rPr>
        <w:t xml:space="preserve"> or</w:t>
      </w:r>
      <w:r w:rsidRPr="003774D1">
        <w:rPr>
          <w:rFonts w:cstheme="minorHAnsi"/>
          <w:color w:val="000000"/>
          <w:sz w:val="24"/>
          <w:szCs w:val="24"/>
        </w:rPr>
        <w:t xml:space="preserve"> </w:t>
      </w:r>
      <w:r w:rsidR="0026481F">
        <w:rPr>
          <w:rFonts w:cstheme="minorHAnsi"/>
          <w:color w:val="000000"/>
          <w:sz w:val="24"/>
          <w:szCs w:val="24"/>
        </w:rPr>
        <w:t xml:space="preserve">plan for </w:t>
      </w:r>
      <w:r w:rsidRPr="003774D1">
        <w:rPr>
          <w:rFonts w:cstheme="minorHAnsi"/>
          <w:color w:val="000000"/>
          <w:sz w:val="24"/>
          <w:szCs w:val="24"/>
        </w:rPr>
        <w:t xml:space="preserve">treatment of benzodiazepine withdrawal. </w:t>
      </w:r>
    </w:p>
    <w:p w14:paraId="602AEA44" w14:textId="7AA4ABB9" w:rsidR="003774D1" w:rsidRPr="003774D1" w:rsidRDefault="003774D1" w:rsidP="003774D1">
      <w:pPr>
        <w:numPr>
          <w:ilvl w:val="0"/>
          <w:numId w:val="10"/>
        </w:numPr>
        <w:autoSpaceDE w:val="0"/>
        <w:autoSpaceDN w:val="0"/>
        <w:adjustRightInd w:val="0"/>
        <w:rPr>
          <w:rFonts w:cstheme="minorHAnsi"/>
          <w:color w:val="0462C1"/>
          <w:sz w:val="24"/>
          <w:szCs w:val="24"/>
        </w:rPr>
      </w:pPr>
      <w:r w:rsidRPr="003774D1">
        <w:rPr>
          <w:rFonts w:cstheme="minorHAnsi"/>
          <w:color w:val="000000"/>
          <w:sz w:val="24"/>
          <w:szCs w:val="24"/>
        </w:rPr>
        <w:t xml:space="preserve">If new patients do not have naloxone already, </w:t>
      </w:r>
      <w:r w:rsidRPr="0026481F">
        <w:rPr>
          <w:rFonts w:cstheme="minorHAnsi"/>
          <w:color w:val="000000"/>
          <w:sz w:val="24"/>
          <w:szCs w:val="24"/>
          <w:highlight w:val="yellow"/>
        </w:rPr>
        <w:t>consider co-prescribing naloxone to reduce the risk of opioid overdose death</w:t>
      </w:r>
      <w:r w:rsidRPr="003774D1">
        <w:rPr>
          <w:rFonts w:cstheme="minorHAnsi"/>
          <w:color w:val="000000"/>
          <w:sz w:val="24"/>
          <w:szCs w:val="24"/>
        </w:rPr>
        <w:t>.</w:t>
      </w:r>
      <w:r w:rsidRPr="003774D1">
        <w:rPr>
          <w:rFonts w:cstheme="minorHAnsi"/>
          <w:color w:val="0462C1"/>
          <w:sz w:val="24"/>
          <w:szCs w:val="24"/>
        </w:rPr>
        <w:t xml:space="preserve"> </w:t>
      </w:r>
    </w:p>
    <w:p w14:paraId="1A5CE1DA" w14:textId="78513598" w:rsidR="003774D1" w:rsidRPr="003774D1" w:rsidRDefault="003774D1" w:rsidP="003774D1">
      <w:pPr>
        <w:numPr>
          <w:ilvl w:val="0"/>
          <w:numId w:val="10"/>
        </w:numPr>
        <w:autoSpaceDE w:val="0"/>
        <w:autoSpaceDN w:val="0"/>
        <w:adjustRightInd w:val="0"/>
        <w:rPr>
          <w:rFonts w:cstheme="minorHAnsi"/>
          <w:color w:val="0462C1"/>
          <w:sz w:val="24"/>
          <w:szCs w:val="24"/>
        </w:rPr>
      </w:pPr>
      <w:r w:rsidRPr="003774D1">
        <w:rPr>
          <w:rFonts w:cstheme="minorHAnsi"/>
          <w:sz w:val="24"/>
          <w:szCs w:val="24"/>
        </w:rPr>
        <w:t>Assess for Opioid Use Disorder (OUD) and collaborate with behavioral health clinicians and available resources.</w:t>
      </w:r>
    </w:p>
    <w:p w14:paraId="4201C1E3" w14:textId="77777777" w:rsidR="00F13E5D" w:rsidRPr="003774D1" w:rsidRDefault="00F13E5D" w:rsidP="003774D1">
      <w:pPr>
        <w:pStyle w:val="Default"/>
        <w:ind w:left="360"/>
        <w:rPr>
          <w:rFonts w:asciiTheme="minorHAnsi" w:hAnsiTheme="minorHAnsi" w:cstheme="minorHAnsi"/>
          <w:color w:val="auto"/>
        </w:rPr>
      </w:pPr>
    </w:p>
    <w:p w14:paraId="24939435" w14:textId="32B72747" w:rsidR="006E3773" w:rsidRPr="003774D1" w:rsidRDefault="006E3773" w:rsidP="003774D1">
      <w:pPr>
        <w:pStyle w:val="Default"/>
        <w:numPr>
          <w:ilvl w:val="0"/>
          <w:numId w:val="3"/>
        </w:numPr>
        <w:rPr>
          <w:rFonts w:asciiTheme="minorHAnsi" w:hAnsiTheme="minorHAnsi" w:cstheme="minorHAnsi"/>
          <w:color w:val="auto"/>
        </w:rPr>
      </w:pPr>
      <w:r w:rsidRPr="003774D1">
        <w:rPr>
          <w:rFonts w:asciiTheme="minorHAnsi" w:hAnsiTheme="minorHAnsi" w:cstheme="minorHAnsi"/>
          <w:b/>
          <w:bCs/>
          <w:i/>
          <w:iCs/>
          <w:color w:val="auto"/>
        </w:rPr>
        <w:t xml:space="preserve">Use Caution when Tapering Opioid Therapy: </w:t>
      </w:r>
      <w:r w:rsidR="00F13E5D" w:rsidRPr="003774D1">
        <w:rPr>
          <w:rFonts w:asciiTheme="minorHAnsi" w:hAnsiTheme="minorHAnsi" w:cstheme="minorHAnsi"/>
          <w:color w:val="auto"/>
        </w:rPr>
        <w:t>Medical clinician</w:t>
      </w:r>
      <w:r w:rsidRPr="003774D1">
        <w:rPr>
          <w:rFonts w:asciiTheme="minorHAnsi" w:hAnsiTheme="minorHAnsi" w:cstheme="minorHAnsi"/>
          <w:color w:val="auto"/>
        </w:rPr>
        <w:t xml:space="preserve">s should not abruptly discontinue or rapidly taper opioids in a patient who is physically dependent on opioid therapies. Safe tapers may take months to years to accomplish. Ensure patients understand the risks and benefits of </w:t>
      </w:r>
      <w:r w:rsidRPr="003774D1">
        <w:rPr>
          <w:rFonts w:asciiTheme="minorHAnsi" w:hAnsiTheme="minorHAnsi" w:cstheme="minorHAnsi"/>
          <w:color w:val="auto"/>
        </w:rPr>
        <w:lastRenderedPageBreak/>
        <w:t xml:space="preserve">dose maintenance versus dose tapering. Work with the patient to identify which medications to taper and how fast. </w:t>
      </w:r>
    </w:p>
    <w:p w14:paraId="75C977BA" w14:textId="77777777" w:rsidR="00F13E5D" w:rsidRPr="003774D1" w:rsidRDefault="00F13E5D" w:rsidP="003774D1">
      <w:pPr>
        <w:pStyle w:val="Default"/>
        <w:rPr>
          <w:rFonts w:asciiTheme="minorHAnsi" w:hAnsiTheme="minorHAnsi" w:cstheme="minorHAnsi"/>
          <w:color w:val="auto"/>
        </w:rPr>
      </w:pPr>
    </w:p>
    <w:p w14:paraId="39866555" w14:textId="77777777" w:rsidR="00745F17" w:rsidRDefault="006E3773" w:rsidP="003774D1">
      <w:pPr>
        <w:pStyle w:val="Default"/>
        <w:numPr>
          <w:ilvl w:val="0"/>
          <w:numId w:val="3"/>
        </w:numPr>
        <w:rPr>
          <w:rFonts w:asciiTheme="minorHAnsi" w:hAnsiTheme="minorHAnsi" w:cstheme="minorHAnsi"/>
          <w:color w:val="auto"/>
        </w:rPr>
      </w:pPr>
      <w:r w:rsidRPr="003774D1">
        <w:rPr>
          <w:rFonts w:asciiTheme="minorHAnsi" w:hAnsiTheme="minorHAnsi" w:cstheme="minorHAnsi"/>
          <w:b/>
          <w:bCs/>
          <w:i/>
          <w:iCs/>
          <w:color w:val="auto"/>
        </w:rPr>
        <w:t xml:space="preserve">Document Patient Care Decisions: </w:t>
      </w:r>
      <w:r w:rsidR="0026481F">
        <w:rPr>
          <w:rFonts w:asciiTheme="minorHAnsi" w:hAnsiTheme="minorHAnsi" w:cstheme="minorHAnsi"/>
          <w:color w:val="auto"/>
        </w:rPr>
        <w:t xml:space="preserve">In </w:t>
      </w:r>
      <w:r w:rsidRPr="003774D1">
        <w:rPr>
          <w:rFonts w:asciiTheme="minorHAnsi" w:hAnsiTheme="minorHAnsi" w:cstheme="minorHAnsi"/>
          <w:color w:val="auto"/>
        </w:rPr>
        <w:t xml:space="preserve">investigations of </w:t>
      </w:r>
      <w:r w:rsidR="00F13E5D" w:rsidRPr="003774D1">
        <w:rPr>
          <w:rFonts w:asciiTheme="minorHAnsi" w:hAnsiTheme="minorHAnsi" w:cstheme="minorHAnsi"/>
          <w:color w:val="auto"/>
        </w:rPr>
        <w:t>medical clinician</w:t>
      </w:r>
      <w:r w:rsidRPr="003774D1">
        <w:rPr>
          <w:rFonts w:asciiTheme="minorHAnsi" w:hAnsiTheme="minorHAnsi" w:cstheme="minorHAnsi"/>
          <w:color w:val="auto"/>
        </w:rPr>
        <w:t xml:space="preserve">s around opioid prescribing </w:t>
      </w:r>
      <w:r w:rsidR="0026481F">
        <w:rPr>
          <w:rFonts w:asciiTheme="minorHAnsi" w:hAnsiTheme="minorHAnsi" w:cstheme="minorHAnsi"/>
          <w:color w:val="auto"/>
        </w:rPr>
        <w:t xml:space="preserve">where sanctions were levied, </w:t>
      </w:r>
      <w:proofErr w:type="gramStart"/>
      <w:r w:rsidR="0026481F">
        <w:rPr>
          <w:rFonts w:asciiTheme="minorHAnsi" w:hAnsiTheme="minorHAnsi" w:cstheme="minorHAnsi"/>
          <w:color w:val="auto"/>
        </w:rPr>
        <w:t xml:space="preserve">a </w:t>
      </w:r>
      <w:r w:rsidR="00745F17">
        <w:rPr>
          <w:rFonts w:asciiTheme="minorHAnsi" w:hAnsiTheme="minorHAnsi" w:cstheme="minorHAnsi"/>
          <w:color w:val="auto"/>
        </w:rPr>
        <w:t>majority</w:t>
      </w:r>
      <w:r w:rsidR="0026481F">
        <w:rPr>
          <w:rFonts w:asciiTheme="minorHAnsi" w:hAnsiTheme="minorHAnsi" w:cstheme="minorHAnsi"/>
          <w:color w:val="auto"/>
        </w:rPr>
        <w:t xml:space="preserve"> of</w:t>
      </w:r>
      <w:proofErr w:type="gramEnd"/>
      <w:r w:rsidR="0026481F">
        <w:rPr>
          <w:rFonts w:asciiTheme="minorHAnsi" w:hAnsiTheme="minorHAnsi" w:cstheme="minorHAnsi"/>
          <w:color w:val="auto"/>
        </w:rPr>
        <w:t xml:space="preserve"> the time </w:t>
      </w:r>
      <w:r w:rsidRPr="003774D1">
        <w:rPr>
          <w:rFonts w:asciiTheme="minorHAnsi" w:hAnsiTheme="minorHAnsi" w:cstheme="minorHAnsi"/>
          <w:color w:val="auto"/>
        </w:rPr>
        <w:t>insufficient documentation</w:t>
      </w:r>
      <w:r w:rsidR="00745F17">
        <w:rPr>
          <w:rFonts w:asciiTheme="minorHAnsi" w:hAnsiTheme="minorHAnsi" w:cstheme="minorHAnsi"/>
          <w:color w:val="auto"/>
        </w:rPr>
        <w:t xml:space="preserve"> </w:t>
      </w:r>
      <w:r w:rsidR="00745F17" w:rsidRPr="003774D1">
        <w:rPr>
          <w:rFonts w:asciiTheme="minorHAnsi" w:hAnsiTheme="minorHAnsi" w:cstheme="minorHAnsi"/>
          <w:color w:val="auto"/>
        </w:rPr>
        <w:t>violations</w:t>
      </w:r>
      <w:r w:rsidR="00745F17">
        <w:rPr>
          <w:rFonts w:asciiTheme="minorHAnsi" w:hAnsiTheme="minorHAnsi" w:cstheme="minorHAnsi"/>
          <w:color w:val="auto"/>
        </w:rPr>
        <w:t xml:space="preserve"> were found</w:t>
      </w:r>
      <w:r w:rsidRPr="003774D1">
        <w:rPr>
          <w:rFonts w:asciiTheme="minorHAnsi" w:hAnsiTheme="minorHAnsi" w:cstheme="minorHAnsi"/>
          <w:color w:val="auto"/>
        </w:rPr>
        <w:t xml:space="preserve">. </w:t>
      </w:r>
    </w:p>
    <w:p w14:paraId="73EA465E" w14:textId="77777777" w:rsidR="00745F17" w:rsidRDefault="00745F17" w:rsidP="00745F17">
      <w:pPr>
        <w:pStyle w:val="ListParagraph"/>
        <w:rPr>
          <w:rFonts w:cstheme="minorHAnsi"/>
        </w:rPr>
      </w:pPr>
    </w:p>
    <w:p w14:paraId="25ED9B43" w14:textId="0B64EA8A" w:rsidR="006E3773" w:rsidRPr="003774D1" w:rsidRDefault="006E3773" w:rsidP="00745F17">
      <w:pPr>
        <w:pStyle w:val="Default"/>
        <w:ind w:left="360"/>
        <w:rPr>
          <w:rFonts w:asciiTheme="minorHAnsi" w:hAnsiTheme="minorHAnsi" w:cstheme="minorHAnsi"/>
          <w:color w:val="auto"/>
        </w:rPr>
      </w:pPr>
      <w:r w:rsidRPr="003774D1">
        <w:rPr>
          <w:rFonts w:asciiTheme="minorHAnsi" w:hAnsiTheme="minorHAnsi" w:cstheme="minorHAnsi"/>
          <w:color w:val="auto"/>
        </w:rPr>
        <w:t xml:space="preserve">Document the rationale for continuing or modifying a patient’s opioid therapy. Include descriptions of pain conditions, previous and current therapy, assessment of risk and evidence of OUD, and opioid stewardship measures. Comprehensive documentation benefits both the patient and the </w:t>
      </w:r>
      <w:r w:rsidR="00F13E5D" w:rsidRPr="003774D1">
        <w:rPr>
          <w:rFonts w:asciiTheme="minorHAnsi" w:hAnsiTheme="minorHAnsi" w:cstheme="minorHAnsi"/>
          <w:color w:val="auto"/>
        </w:rPr>
        <w:t>medical clinician</w:t>
      </w:r>
      <w:r w:rsidR="00B4726E" w:rsidRPr="003774D1">
        <w:rPr>
          <w:rFonts w:asciiTheme="minorHAnsi" w:hAnsiTheme="minorHAnsi" w:cstheme="minorHAnsi"/>
          <w:color w:val="auto"/>
        </w:rPr>
        <w:t xml:space="preserve"> and team</w:t>
      </w:r>
      <w:r w:rsidRPr="003774D1">
        <w:rPr>
          <w:rFonts w:asciiTheme="minorHAnsi" w:hAnsiTheme="minorHAnsi" w:cstheme="minorHAnsi"/>
          <w:color w:val="auto"/>
        </w:rPr>
        <w:t xml:space="preserve">. </w:t>
      </w:r>
    </w:p>
    <w:p w14:paraId="10482A80" w14:textId="77777777" w:rsidR="00F13E5D" w:rsidRPr="003774D1" w:rsidRDefault="00F13E5D" w:rsidP="003774D1">
      <w:pPr>
        <w:pStyle w:val="Default"/>
        <w:rPr>
          <w:rFonts w:asciiTheme="minorHAnsi" w:hAnsiTheme="minorHAnsi" w:cstheme="minorHAnsi"/>
          <w:color w:val="auto"/>
        </w:rPr>
      </w:pPr>
    </w:p>
    <w:p w14:paraId="7255AD0B" w14:textId="0A1F76D5" w:rsidR="006E3773" w:rsidRPr="003774D1" w:rsidRDefault="006E3773" w:rsidP="003774D1">
      <w:pPr>
        <w:pStyle w:val="Default"/>
        <w:numPr>
          <w:ilvl w:val="0"/>
          <w:numId w:val="3"/>
        </w:numPr>
        <w:rPr>
          <w:rFonts w:asciiTheme="minorHAnsi" w:hAnsiTheme="minorHAnsi" w:cstheme="minorHAnsi"/>
          <w:color w:val="auto"/>
        </w:rPr>
      </w:pPr>
      <w:r w:rsidRPr="003774D1">
        <w:rPr>
          <w:rFonts w:asciiTheme="minorHAnsi" w:hAnsiTheme="minorHAnsi" w:cstheme="minorHAnsi"/>
          <w:b/>
          <w:bCs/>
          <w:i/>
          <w:iCs/>
          <w:color w:val="auto"/>
        </w:rPr>
        <w:t xml:space="preserve">Prescribe Buprenorphine when Appropriate: </w:t>
      </w:r>
      <w:r w:rsidRPr="003774D1">
        <w:rPr>
          <w:rFonts w:asciiTheme="minorHAnsi" w:hAnsiTheme="minorHAnsi" w:cstheme="minorHAnsi"/>
          <w:color w:val="auto"/>
        </w:rPr>
        <w:t xml:space="preserve">Buprenorphine has been shown to be a highly safe and effective treatment for pain management and </w:t>
      </w:r>
      <w:r w:rsidR="00F13E5D" w:rsidRPr="003774D1">
        <w:rPr>
          <w:rFonts w:asciiTheme="minorHAnsi" w:hAnsiTheme="minorHAnsi" w:cstheme="minorHAnsi"/>
          <w:color w:val="auto"/>
        </w:rPr>
        <w:t>OUD and</w:t>
      </w:r>
      <w:r w:rsidRPr="003774D1">
        <w:rPr>
          <w:rFonts w:asciiTheme="minorHAnsi" w:hAnsiTheme="minorHAnsi" w:cstheme="minorHAnsi"/>
          <w:color w:val="auto"/>
        </w:rPr>
        <w:t xml:space="preserve"> is FDA-approved for both conditions. Buprenorphine reduces craving, withdrawal, and overdose risk, has low potential for misuse and diversion, and increases retention in care. Buprenorphine for pain has proven to be an effective and safe alternative for patients dependent on long-term opioid agonists. </w:t>
      </w:r>
      <w:r w:rsidR="00693D42">
        <w:rPr>
          <w:rFonts w:asciiTheme="minorHAnsi" w:hAnsiTheme="minorHAnsi" w:cstheme="minorHAnsi"/>
          <w:color w:val="auto"/>
        </w:rPr>
        <w:t>No additional DEA licensing (“X waiver”) is needed for medical clinicians to prescribe buprenorphine.</w:t>
      </w:r>
    </w:p>
    <w:p w14:paraId="6AA8D50B" w14:textId="4A8D7FD9" w:rsidR="00F13E5D" w:rsidRPr="003774D1" w:rsidRDefault="00F13E5D" w:rsidP="003774D1">
      <w:pPr>
        <w:pStyle w:val="Default"/>
        <w:rPr>
          <w:rFonts w:asciiTheme="minorHAnsi" w:hAnsiTheme="minorHAnsi" w:cstheme="minorHAnsi"/>
          <w:color w:val="auto"/>
        </w:rPr>
      </w:pPr>
    </w:p>
    <w:p w14:paraId="0B044E3D" w14:textId="6ACC64C1" w:rsidR="00226587" w:rsidRDefault="00AC594B" w:rsidP="003774D1">
      <w:pPr>
        <w:pStyle w:val="Default"/>
        <w:rPr>
          <w:rFonts w:asciiTheme="minorHAnsi" w:hAnsiTheme="minorHAnsi" w:cstheme="minorHAnsi"/>
          <w:i/>
          <w:iCs/>
          <w:color w:val="auto"/>
        </w:rPr>
      </w:pPr>
      <w:r w:rsidRPr="003774D1">
        <w:rPr>
          <w:rFonts w:asciiTheme="minorHAnsi" w:hAnsiTheme="minorHAnsi" w:cstheme="minorHAnsi"/>
          <w:color w:val="auto"/>
        </w:rPr>
        <w:t xml:space="preserve">This fact sheet was adapted from: State of California—Health and Human Services Agency California Department of Public Health Newsletter of 9/7/2021. </w:t>
      </w:r>
      <w:r w:rsidRPr="009B445E">
        <w:rPr>
          <w:rFonts w:asciiTheme="minorHAnsi" w:hAnsiTheme="minorHAnsi" w:cstheme="minorHAnsi"/>
          <w:smallCaps/>
          <w:color w:val="auto"/>
        </w:rPr>
        <w:t>TOMÁS J. ARAGÓN, MD, DrPH</w:t>
      </w:r>
      <w:r w:rsidRPr="003774D1">
        <w:rPr>
          <w:rFonts w:asciiTheme="minorHAnsi" w:hAnsiTheme="minorHAnsi" w:cstheme="minorHAnsi"/>
          <w:b/>
          <w:bCs/>
          <w:color w:val="auto"/>
        </w:rPr>
        <w:t xml:space="preserve"> </w:t>
      </w:r>
      <w:r w:rsidRPr="003774D1">
        <w:rPr>
          <w:rFonts w:asciiTheme="minorHAnsi" w:hAnsiTheme="minorHAnsi" w:cstheme="minorHAnsi"/>
          <w:i/>
          <w:iCs/>
          <w:color w:val="auto"/>
        </w:rPr>
        <w:t>Director and State Public Health Officer</w:t>
      </w:r>
    </w:p>
    <w:p w14:paraId="3E423321" w14:textId="77777777" w:rsidR="003774D1" w:rsidRPr="003774D1" w:rsidRDefault="003774D1" w:rsidP="003774D1">
      <w:pPr>
        <w:pStyle w:val="Default"/>
        <w:rPr>
          <w:rFonts w:asciiTheme="minorHAnsi" w:hAnsiTheme="minorHAnsi" w:cstheme="minorHAnsi"/>
          <w:i/>
          <w:iCs/>
          <w:color w:val="auto"/>
        </w:rPr>
      </w:pPr>
    </w:p>
    <w:p w14:paraId="5BDC7B9A" w14:textId="02B5943B" w:rsidR="006E3773" w:rsidRPr="003774D1" w:rsidRDefault="006E3773" w:rsidP="003774D1">
      <w:pPr>
        <w:pStyle w:val="Default"/>
        <w:rPr>
          <w:rFonts w:asciiTheme="minorHAnsi" w:hAnsiTheme="minorHAnsi" w:cstheme="minorHAnsi"/>
          <w:color w:val="auto"/>
        </w:rPr>
      </w:pPr>
      <w:r w:rsidRPr="003774D1">
        <w:rPr>
          <w:rFonts w:asciiTheme="minorHAnsi" w:hAnsiTheme="minorHAnsi" w:cstheme="minorHAnsi"/>
          <w:b/>
          <w:bCs/>
          <w:color w:val="auto"/>
        </w:rPr>
        <w:t xml:space="preserve">Support and Resources: </w:t>
      </w:r>
    </w:p>
    <w:p w14:paraId="445906D7" w14:textId="0E4312F7" w:rsidR="00C6455F" w:rsidRPr="003774D1" w:rsidRDefault="001A6890" w:rsidP="003774D1">
      <w:pPr>
        <w:pStyle w:val="ListParagraph"/>
        <w:numPr>
          <w:ilvl w:val="0"/>
          <w:numId w:val="6"/>
        </w:numPr>
        <w:rPr>
          <w:rFonts w:cstheme="minorHAnsi"/>
          <w:sz w:val="24"/>
          <w:szCs w:val="24"/>
        </w:rPr>
      </w:pPr>
      <w:hyperlink r:id="rId7" w:history="1">
        <w:r w:rsidR="00C6455F" w:rsidRPr="003774D1">
          <w:rPr>
            <w:rStyle w:val="Hyperlink"/>
            <w:rFonts w:cstheme="minorHAnsi"/>
            <w:sz w:val="24"/>
            <w:szCs w:val="24"/>
          </w:rPr>
          <w:t>https://www.youtube.com/watch?v=WTwZ76oPT3w</w:t>
        </w:r>
      </w:hyperlink>
      <w:r w:rsidR="00C6455F" w:rsidRPr="003774D1">
        <w:rPr>
          <w:rFonts w:cstheme="minorHAnsi"/>
          <w:sz w:val="24"/>
          <w:szCs w:val="24"/>
        </w:rPr>
        <w:t xml:space="preserve"> </w:t>
      </w:r>
      <w:r w:rsidR="00745F17" w:rsidRPr="003774D1">
        <w:rPr>
          <w:rFonts w:cstheme="minorHAnsi"/>
          <w:sz w:val="24"/>
          <w:szCs w:val="24"/>
        </w:rPr>
        <w:t>6-minute</w:t>
      </w:r>
      <w:r w:rsidR="00C6455F" w:rsidRPr="003774D1">
        <w:rPr>
          <w:rFonts w:cstheme="minorHAnsi"/>
          <w:sz w:val="24"/>
          <w:szCs w:val="24"/>
        </w:rPr>
        <w:t xml:space="preserve"> video</w:t>
      </w:r>
      <w:r w:rsidR="009B445E">
        <w:rPr>
          <w:rFonts w:cstheme="minorHAnsi"/>
          <w:sz w:val="24"/>
          <w:szCs w:val="24"/>
        </w:rPr>
        <w:t>,</w:t>
      </w:r>
      <w:r w:rsidR="00745F17">
        <w:rPr>
          <w:rFonts w:cstheme="minorHAnsi"/>
          <w:sz w:val="24"/>
          <w:szCs w:val="24"/>
        </w:rPr>
        <w:t xml:space="preserve"> Primer on In</w:t>
      </w:r>
      <w:r w:rsidR="00C6455F" w:rsidRPr="003774D1">
        <w:rPr>
          <w:rFonts w:cstheme="minorHAnsi"/>
          <w:sz w:val="24"/>
          <w:szCs w:val="24"/>
        </w:rPr>
        <w:t>heriting Patients on Opioids</w:t>
      </w:r>
    </w:p>
    <w:p w14:paraId="45E7F173" w14:textId="7AC52AC8" w:rsidR="00581280" w:rsidRPr="003774D1" w:rsidRDefault="001A6890" w:rsidP="003774D1">
      <w:pPr>
        <w:pStyle w:val="paragraph"/>
        <w:numPr>
          <w:ilvl w:val="0"/>
          <w:numId w:val="6"/>
        </w:numPr>
        <w:spacing w:before="0" w:beforeAutospacing="0" w:after="0" w:afterAutospacing="0"/>
        <w:textAlignment w:val="baseline"/>
        <w:rPr>
          <w:rFonts w:asciiTheme="minorHAnsi" w:eastAsia="Times New Roman" w:hAnsiTheme="minorHAnsi" w:cstheme="minorHAnsi"/>
          <w:sz w:val="24"/>
          <w:szCs w:val="24"/>
        </w:rPr>
      </w:pPr>
      <w:hyperlink r:id="rId8" w:tgtFrame="_blank" w:history="1">
        <w:r w:rsidR="00581280" w:rsidRPr="003774D1">
          <w:rPr>
            <w:rStyle w:val="normaltextrun"/>
            <w:rFonts w:asciiTheme="minorHAnsi" w:eastAsia="Times New Roman" w:hAnsiTheme="minorHAnsi" w:cstheme="minorHAnsi"/>
            <w:color w:val="0563C1"/>
            <w:sz w:val="24"/>
            <w:szCs w:val="24"/>
            <w:u w:val="single"/>
          </w:rPr>
          <w:t>Inheriting Patients on Opioids | CIAO (ciaosf.org)</w:t>
        </w:r>
      </w:hyperlink>
      <w:r w:rsidR="00581280" w:rsidRPr="003774D1">
        <w:rPr>
          <w:rStyle w:val="normaltextrun"/>
          <w:rFonts w:asciiTheme="minorHAnsi" w:eastAsia="Times New Roman" w:hAnsiTheme="minorHAnsi" w:cstheme="minorHAnsi"/>
          <w:sz w:val="24"/>
          <w:szCs w:val="24"/>
        </w:rPr>
        <w:t xml:space="preserve"> – </w:t>
      </w:r>
      <w:proofErr w:type="gramStart"/>
      <w:r w:rsidR="00745F17">
        <w:rPr>
          <w:rStyle w:val="normaltextrun"/>
          <w:rFonts w:asciiTheme="minorHAnsi" w:eastAsia="Times New Roman" w:hAnsiTheme="minorHAnsi" w:cstheme="minorHAnsi"/>
          <w:sz w:val="24"/>
          <w:szCs w:val="24"/>
        </w:rPr>
        <w:t>63 minute</w:t>
      </w:r>
      <w:proofErr w:type="gramEnd"/>
      <w:r w:rsidR="00745F17">
        <w:rPr>
          <w:rStyle w:val="normaltextrun"/>
          <w:rFonts w:asciiTheme="minorHAnsi" w:eastAsia="Times New Roman" w:hAnsiTheme="minorHAnsi" w:cstheme="minorHAnsi"/>
          <w:sz w:val="24"/>
          <w:szCs w:val="24"/>
        </w:rPr>
        <w:t xml:space="preserve"> video, and </w:t>
      </w:r>
      <w:r w:rsidR="00581280" w:rsidRPr="003774D1">
        <w:rPr>
          <w:rStyle w:val="normaltextrun"/>
          <w:rFonts w:asciiTheme="minorHAnsi" w:eastAsia="Times New Roman" w:hAnsiTheme="minorHAnsi" w:cstheme="minorHAnsi"/>
          <w:sz w:val="24"/>
          <w:szCs w:val="24"/>
        </w:rPr>
        <w:t>other resources in their toolkit contents.</w:t>
      </w:r>
    </w:p>
    <w:p w14:paraId="1ABACF8D" w14:textId="180E5ED0" w:rsidR="00581280" w:rsidRPr="003774D1" w:rsidRDefault="001A6890" w:rsidP="003774D1">
      <w:pPr>
        <w:pStyle w:val="paragraph"/>
        <w:numPr>
          <w:ilvl w:val="0"/>
          <w:numId w:val="6"/>
        </w:numPr>
        <w:spacing w:before="0" w:beforeAutospacing="0" w:after="0" w:afterAutospacing="0"/>
        <w:textAlignment w:val="baseline"/>
        <w:rPr>
          <w:rFonts w:asciiTheme="minorHAnsi" w:eastAsia="Times New Roman" w:hAnsiTheme="minorHAnsi" w:cstheme="minorHAnsi"/>
          <w:sz w:val="24"/>
          <w:szCs w:val="24"/>
        </w:rPr>
      </w:pPr>
      <w:hyperlink r:id="rId9" w:tgtFrame="_blank" w:history="1">
        <w:r w:rsidR="00581280" w:rsidRPr="003774D1">
          <w:rPr>
            <w:rStyle w:val="normaltextrun"/>
            <w:rFonts w:asciiTheme="minorHAnsi" w:eastAsia="Times New Roman" w:hAnsiTheme="minorHAnsi" w:cstheme="minorHAnsi"/>
            <w:color w:val="0563C1"/>
            <w:sz w:val="24"/>
            <w:szCs w:val="24"/>
            <w:u w:val="single"/>
          </w:rPr>
          <w:t>https://www.cdc.gov/overdose-prevention/hcp/toolkits/2022-clinical-practice-guideline-partner-toolkit.html</w:t>
        </w:r>
      </w:hyperlink>
    </w:p>
    <w:p w14:paraId="0BB9278C" w14:textId="77777777" w:rsidR="00581280" w:rsidRPr="003774D1" w:rsidRDefault="00581280" w:rsidP="003774D1">
      <w:pPr>
        <w:pStyle w:val="paragraph"/>
        <w:numPr>
          <w:ilvl w:val="0"/>
          <w:numId w:val="6"/>
        </w:numPr>
        <w:spacing w:before="0" w:beforeAutospacing="0" w:after="0" w:afterAutospacing="0"/>
        <w:textAlignment w:val="baseline"/>
        <w:rPr>
          <w:rFonts w:asciiTheme="minorHAnsi" w:eastAsia="Times New Roman" w:hAnsiTheme="minorHAnsi" w:cstheme="minorHAnsi"/>
          <w:sz w:val="24"/>
          <w:szCs w:val="24"/>
        </w:rPr>
      </w:pPr>
      <w:r w:rsidRPr="003774D1">
        <w:rPr>
          <w:rStyle w:val="normaltextrun"/>
          <w:rFonts w:asciiTheme="minorHAnsi" w:eastAsia="Times New Roman" w:hAnsiTheme="minorHAnsi" w:cstheme="minorHAnsi"/>
          <w:sz w:val="24"/>
          <w:szCs w:val="24"/>
        </w:rPr>
        <w:t xml:space="preserve">FQHCs can also request technical assistance from </w:t>
      </w:r>
      <w:hyperlink r:id="rId10" w:tgtFrame="_blank" w:history="1">
        <w:r w:rsidRPr="003774D1">
          <w:rPr>
            <w:rStyle w:val="normaltextrun"/>
            <w:rFonts w:asciiTheme="minorHAnsi" w:eastAsia="Times New Roman" w:hAnsiTheme="minorHAnsi" w:cstheme="minorHAnsi"/>
            <w:color w:val="0563C1"/>
            <w:sz w:val="24"/>
            <w:szCs w:val="24"/>
            <w:u w:val="single"/>
          </w:rPr>
          <w:t>HRSA’s Bureau of Primary Healthcare</w:t>
        </w:r>
      </w:hyperlink>
      <w:r w:rsidRPr="003774D1">
        <w:rPr>
          <w:rStyle w:val="normaltextrun"/>
          <w:rFonts w:asciiTheme="minorHAnsi" w:eastAsia="Times New Roman" w:hAnsiTheme="minorHAnsi" w:cstheme="minorHAnsi"/>
          <w:sz w:val="24"/>
          <w:szCs w:val="24"/>
        </w:rPr>
        <w:t xml:space="preserve"> and their Primary Care Association.</w:t>
      </w:r>
    </w:p>
    <w:p w14:paraId="16A4240E" w14:textId="790723C7" w:rsidR="0067591A" w:rsidRPr="00745F17" w:rsidRDefault="001A6890" w:rsidP="003774D1">
      <w:pPr>
        <w:pStyle w:val="ListParagraph"/>
        <w:numPr>
          <w:ilvl w:val="0"/>
          <w:numId w:val="6"/>
        </w:numPr>
        <w:rPr>
          <w:rStyle w:val="Hyperlink"/>
          <w:rFonts w:cstheme="minorHAnsi"/>
          <w:color w:val="auto"/>
          <w:sz w:val="24"/>
          <w:szCs w:val="24"/>
          <w:u w:val="none"/>
        </w:rPr>
      </w:pPr>
      <w:hyperlink r:id="rId11" w:history="1">
        <w:r w:rsidR="00D97B1B" w:rsidRPr="003774D1">
          <w:rPr>
            <w:rStyle w:val="Hyperlink"/>
            <w:rFonts w:cstheme="minorHAnsi"/>
            <w:sz w:val="24"/>
            <w:szCs w:val="24"/>
          </w:rPr>
          <w:t>https://www.cdc.gov/overdose-prevention/hcp/trainings/tapering.html?CDC_AAref_Val=https://www.cdc.gov/drugoverdose/pdf/clinical_pocket_guide_tapering-a.pdf</w:t>
        </w:r>
      </w:hyperlink>
    </w:p>
    <w:p w14:paraId="21F48381" w14:textId="24013EFE" w:rsidR="00745F17" w:rsidRPr="00745F17" w:rsidRDefault="001A6890" w:rsidP="003774D1">
      <w:pPr>
        <w:pStyle w:val="ListParagraph"/>
        <w:numPr>
          <w:ilvl w:val="0"/>
          <w:numId w:val="6"/>
        </w:numPr>
        <w:rPr>
          <w:rFonts w:cstheme="minorHAnsi"/>
          <w:sz w:val="24"/>
          <w:szCs w:val="24"/>
        </w:rPr>
      </w:pPr>
      <w:hyperlink r:id="rId12" w:history="1">
        <w:r w:rsidR="00745F17" w:rsidRPr="003D7049">
          <w:rPr>
            <w:rStyle w:val="Hyperlink"/>
            <w:rFonts w:cstheme="minorHAnsi"/>
            <w:sz w:val="24"/>
            <w:szCs w:val="24"/>
          </w:rPr>
          <w:t>https://www.scopeofpain.org/</w:t>
        </w:r>
      </w:hyperlink>
      <w:r w:rsidR="00745F17" w:rsidRPr="00745F17">
        <w:rPr>
          <w:rStyle w:val="Hyperlink"/>
          <w:rFonts w:cstheme="minorHAnsi"/>
          <w:sz w:val="24"/>
          <w:szCs w:val="24"/>
          <w:u w:val="none"/>
        </w:rPr>
        <w:t xml:space="preserve">  </w:t>
      </w:r>
      <w:r w:rsidR="00745F17" w:rsidRPr="00745F17">
        <w:rPr>
          <w:rStyle w:val="Hyperlink"/>
          <w:rFonts w:cstheme="minorHAnsi"/>
          <w:color w:val="auto"/>
          <w:sz w:val="24"/>
          <w:szCs w:val="24"/>
          <w:u w:val="none"/>
        </w:rPr>
        <w:t>Safe Competent Opioid Prescribing Education</w:t>
      </w:r>
      <w:r w:rsidR="00745F17">
        <w:rPr>
          <w:rStyle w:val="Hyperlink"/>
          <w:rFonts w:cstheme="minorHAnsi"/>
          <w:color w:val="auto"/>
          <w:sz w:val="24"/>
          <w:szCs w:val="24"/>
          <w:u w:val="none"/>
        </w:rPr>
        <w:t>.</w:t>
      </w:r>
      <w:r w:rsidR="00745F17" w:rsidRPr="00745F17">
        <w:rPr>
          <w:rStyle w:val="Hyperlink"/>
          <w:rFonts w:cstheme="minorHAnsi"/>
          <w:color w:val="auto"/>
          <w:sz w:val="24"/>
          <w:szCs w:val="24"/>
          <w:u w:val="none"/>
        </w:rPr>
        <w:t xml:space="preserve"> Vast resources, and free CME</w:t>
      </w:r>
      <w:r w:rsidR="00745F17">
        <w:rPr>
          <w:rStyle w:val="Hyperlink"/>
          <w:rFonts w:cstheme="minorHAnsi"/>
          <w:color w:val="auto"/>
          <w:sz w:val="24"/>
          <w:szCs w:val="24"/>
          <w:u w:val="none"/>
        </w:rPr>
        <w:t>.</w:t>
      </w:r>
    </w:p>
    <w:p w14:paraId="59A50FC7" w14:textId="77777777" w:rsidR="003774D1" w:rsidRPr="003774D1" w:rsidRDefault="003774D1" w:rsidP="003774D1">
      <w:pPr>
        <w:rPr>
          <w:rFonts w:cstheme="minorHAnsi"/>
          <w:sz w:val="24"/>
          <w:szCs w:val="24"/>
        </w:rPr>
      </w:pPr>
    </w:p>
    <w:sectPr w:rsidR="003774D1" w:rsidRPr="003774D1" w:rsidSect="006D1F77">
      <w:headerReference w:type="default" r:id="rId13"/>
      <w:footerReference w:type="default" r:id="rId14"/>
      <w:pgSz w:w="12240" w:h="16340"/>
      <w:pgMar w:top="1876" w:right="1115" w:bottom="422" w:left="1209"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144A7" w14:textId="77777777" w:rsidR="00745F17" w:rsidRDefault="00745F17" w:rsidP="00745F17">
      <w:r>
        <w:separator/>
      </w:r>
    </w:p>
  </w:endnote>
  <w:endnote w:type="continuationSeparator" w:id="0">
    <w:p w14:paraId="075C183A" w14:textId="77777777" w:rsidR="00745F17" w:rsidRDefault="00745F17" w:rsidP="0074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426245"/>
      <w:docPartObj>
        <w:docPartGallery w:val="Page Numbers (Bottom of Page)"/>
        <w:docPartUnique/>
      </w:docPartObj>
    </w:sdtPr>
    <w:sdtEndPr>
      <w:rPr>
        <w:noProof/>
      </w:rPr>
    </w:sdtEndPr>
    <w:sdtContent>
      <w:p w14:paraId="4563B64C" w14:textId="21D077E5" w:rsidR="00745F17" w:rsidRDefault="00745F17">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of 3</w:t>
        </w:r>
      </w:p>
    </w:sdtContent>
  </w:sdt>
  <w:p w14:paraId="5E17D7A8" w14:textId="77777777" w:rsidR="00745F17" w:rsidRDefault="00745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03EDD" w14:textId="77777777" w:rsidR="00745F17" w:rsidRDefault="00745F17" w:rsidP="00745F17">
      <w:r>
        <w:separator/>
      </w:r>
    </w:p>
  </w:footnote>
  <w:footnote w:type="continuationSeparator" w:id="0">
    <w:p w14:paraId="55E29ED5" w14:textId="77777777" w:rsidR="00745F17" w:rsidRDefault="00745F17" w:rsidP="0074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5BDC3" w14:textId="1E42AD2B" w:rsidR="00745F17" w:rsidRPr="0057556C" w:rsidRDefault="00BB3A5A" w:rsidP="00BB3A5A">
    <w:pPr>
      <w:pStyle w:val="Default"/>
      <w:jc w:val="center"/>
      <w:rPr>
        <w:rFonts w:asciiTheme="minorHAnsi" w:hAnsiTheme="minorHAnsi" w:cstheme="minorHAnsi"/>
        <w:b/>
        <w:bCs/>
        <w:color w:val="auto"/>
      </w:rPr>
    </w:pPr>
    <w:r w:rsidRPr="0057556C">
      <w:rPr>
        <w:rFonts w:asciiTheme="minorHAnsi" w:hAnsiTheme="minorHAnsi" w:cstheme="minorHAnsi"/>
        <w:b/>
        <w:bCs/>
      </w:rPr>
      <w:t>Chronic Pain Management</w:t>
    </w:r>
    <w:r w:rsidRPr="0057556C">
      <w:rPr>
        <w:rFonts w:asciiTheme="minorHAnsi" w:hAnsiTheme="minorHAnsi" w:cstheme="minorHAnsi"/>
        <w:b/>
        <w:bCs/>
        <w:color w:val="auto"/>
      </w:rPr>
      <w:t xml:space="preserve"> </w:t>
    </w:r>
    <w:r>
      <w:rPr>
        <w:rFonts w:asciiTheme="minorHAnsi" w:hAnsiTheme="minorHAnsi" w:cstheme="minorHAnsi"/>
        <w:b/>
        <w:bCs/>
        <w:color w:val="auto"/>
      </w:rPr>
      <w:t xml:space="preserve">&amp; </w:t>
    </w:r>
    <w:r w:rsidR="0057556C" w:rsidRPr="0057556C">
      <w:rPr>
        <w:rFonts w:asciiTheme="minorHAnsi" w:hAnsiTheme="minorHAnsi" w:cstheme="minorHAnsi"/>
        <w:b/>
        <w:bCs/>
        <w:color w:val="auto"/>
      </w:rPr>
      <w:t>MPC Closure Update 06.27.2024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4F91B3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5A01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15097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6B4D49"/>
    <w:multiLevelType w:val="hybridMultilevel"/>
    <w:tmpl w:val="CDB8A410"/>
    <w:lvl w:ilvl="0" w:tplc="C6CC07D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F247E"/>
    <w:multiLevelType w:val="hybridMultilevel"/>
    <w:tmpl w:val="0D0C06AA"/>
    <w:lvl w:ilvl="0" w:tplc="16761F16">
      <w:numFmt w:val="bullet"/>
      <w:lvlText w:val="•"/>
      <w:lvlJc w:val="left"/>
      <w:pPr>
        <w:ind w:left="360" w:hanging="360"/>
      </w:pPr>
      <w:rPr>
        <w:rFonts w:ascii="Century Gothic" w:eastAsiaTheme="minorHAnsi" w:hAnsi="Century Gothic" w:cs="Century Gothic" w:hint="default"/>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C9437C3"/>
    <w:multiLevelType w:val="hybridMultilevel"/>
    <w:tmpl w:val="09124E9A"/>
    <w:lvl w:ilvl="0" w:tplc="845E6E7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A5128"/>
    <w:multiLevelType w:val="hybridMultilevel"/>
    <w:tmpl w:val="4A6EE774"/>
    <w:lvl w:ilvl="0" w:tplc="7B781CDE">
      <w:numFmt w:val="bullet"/>
      <w:lvlText w:val="•"/>
      <w:lvlJc w:val="left"/>
      <w:pPr>
        <w:ind w:left="360" w:hanging="360"/>
      </w:pPr>
      <w:rPr>
        <w:rFonts w:ascii="Century Gothic" w:eastAsiaTheme="minorHAnsi" w:hAnsi="Century Gothic" w:cs="Century Goth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0B0165"/>
    <w:multiLevelType w:val="hybridMultilevel"/>
    <w:tmpl w:val="3D8CB3B6"/>
    <w:lvl w:ilvl="0" w:tplc="7B781CDE">
      <w:numFmt w:val="bullet"/>
      <w:lvlText w:val="•"/>
      <w:lvlJc w:val="left"/>
      <w:pPr>
        <w:ind w:left="360" w:hanging="360"/>
      </w:pPr>
      <w:rPr>
        <w:rFonts w:ascii="Century Gothic" w:eastAsiaTheme="minorHAnsi" w:hAnsi="Century Gothic" w:cs="Century Goth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CC95030"/>
    <w:multiLevelType w:val="hybridMultilevel"/>
    <w:tmpl w:val="E30E2742"/>
    <w:lvl w:ilvl="0" w:tplc="7B781CDE">
      <w:numFmt w:val="bullet"/>
      <w:lvlText w:val="•"/>
      <w:lvlJc w:val="left"/>
      <w:pPr>
        <w:ind w:left="720" w:hanging="360"/>
      </w:pPr>
      <w:rPr>
        <w:rFonts w:ascii="Century Gothic" w:eastAsiaTheme="minorHAnsi" w:hAnsi="Century Gothic" w:cs="Century 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5F7509"/>
    <w:multiLevelType w:val="hybridMultilevel"/>
    <w:tmpl w:val="44386A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68DA40A7"/>
    <w:multiLevelType w:val="hybridMultilevel"/>
    <w:tmpl w:val="2C565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8D61C9"/>
    <w:multiLevelType w:val="hybridMultilevel"/>
    <w:tmpl w:val="5ADAE3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83078727">
    <w:abstractNumId w:val="11"/>
  </w:num>
  <w:num w:numId="2" w16cid:durableId="109710978">
    <w:abstractNumId w:val="8"/>
  </w:num>
  <w:num w:numId="3" w16cid:durableId="189147987">
    <w:abstractNumId w:val="5"/>
  </w:num>
  <w:num w:numId="4" w16cid:durableId="15987093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3579227">
    <w:abstractNumId w:val="0"/>
  </w:num>
  <w:num w:numId="6" w16cid:durableId="73208340">
    <w:abstractNumId w:val="7"/>
  </w:num>
  <w:num w:numId="7" w16cid:durableId="1204563377">
    <w:abstractNumId w:val="6"/>
  </w:num>
  <w:num w:numId="8" w16cid:durableId="2083328740">
    <w:abstractNumId w:val="1"/>
  </w:num>
  <w:num w:numId="9" w16cid:durableId="1830824472">
    <w:abstractNumId w:val="2"/>
  </w:num>
  <w:num w:numId="10" w16cid:durableId="775294203">
    <w:abstractNumId w:val="4"/>
  </w:num>
  <w:num w:numId="11" w16cid:durableId="1766224452">
    <w:abstractNumId w:val="10"/>
  </w:num>
  <w:num w:numId="12" w16cid:durableId="10665366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773"/>
    <w:rsid w:val="001A6890"/>
    <w:rsid w:val="00226587"/>
    <w:rsid w:val="0026481F"/>
    <w:rsid w:val="003774D1"/>
    <w:rsid w:val="004423EF"/>
    <w:rsid w:val="00464E37"/>
    <w:rsid w:val="0057556C"/>
    <w:rsid w:val="00581280"/>
    <w:rsid w:val="0067591A"/>
    <w:rsid w:val="00693D42"/>
    <w:rsid w:val="006D1F77"/>
    <w:rsid w:val="006E3773"/>
    <w:rsid w:val="00745F17"/>
    <w:rsid w:val="007573DB"/>
    <w:rsid w:val="00995D79"/>
    <w:rsid w:val="009B445E"/>
    <w:rsid w:val="009D3291"/>
    <w:rsid w:val="00A1187F"/>
    <w:rsid w:val="00AA3154"/>
    <w:rsid w:val="00AC594B"/>
    <w:rsid w:val="00B4726E"/>
    <w:rsid w:val="00BB3A5A"/>
    <w:rsid w:val="00C6455F"/>
    <w:rsid w:val="00C86A01"/>
    <w:rsid w:val="00D97B1B"/>
    <w:rsid w:val="00F036EB"/>
    <w:rsid w:val="00F13E5D"/>
    <w:rsid w:val="00FF2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651E1"/>
  <w15:docId w15:val="{3391E609-497E-4FA3-84C0-1CADE865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3773"/>
    <w:pPr>
      <w:autoSpaceDE w:val="0"/>
      <w:autoSpaceDN w:val="0"/>
      <w:adjustRightInd w:val="0"/>
    </w:pPr>
    <w:rPr>
      <w:rFonts w:ascii="Arial Narrow" w:hAnsi="Arial Narrow" w:cs="Arial Narrow"/>
      <w:color w:val="000000"/>
      <w:sz w:val="24"/>
      <w:szCs w:val="24"/>
    </w:rPr>
  </w:style>
  <w:style w:type="paragraph" w:customStyle="1" w:styleId="paragraph">
    <w:name w:val="paragraph"/>
    <w:basedOn w:val="Normal"/>
    <w:rsid w:val="00581280"/>
    <w:pPr>
      <w:spacing w:before="100" w:beforeAutospacing="1" w:after="100" w:afterAutospacing="1"/>
    </w:pPr>
    <w:rPr>
      <w:rFonts w:ascii="Calibri" w:hAnsi="Calibri" w:cs="Calibri"/>
    </w:rPr>
  </w:style>
  <w:style w:type="character" w:customStyle="1" w:styleId="normaltextrun">
    <w:name w:val="normaltextrun"/>
    <w:basedOn w:val="DefaultParagraphFont"/>
    <w:rsid w:val="00581280"/>
  </w:style>
  <w:style w:type="character" w:customStyle="1" w:styleId="eop">
    <w:name w:val="eop"/>
    <w:basedOn w:val="DefaultParagraphFont"/>
    <w:rsid w:val="00581280"/>
  </w:style>
  <w:style w:type="character" w:styleId="Hyperlink">
    <w:name w:val="Hyperlink"/>
    <w:basedOn w:val="DefaultParagraphFont"/>
    <w:uiPriority w:val="99"/>
    <w:unhideWhenUsed/>
    <w:rsid w:val="00D97B1B"/>
    <w:rPr>
      <w:color w:val="0563C1" w:themeColor="hyperlink"/>
      <w:u w:val="single"/>
    </w:rPr>
  </w:style>
  <w:style w:type="character" w:styleId="UnresolvedMention">
    <w:name w:val="Unresolved Mention"/>
    <w:basedOn w:val="DefaultParagraphFont"/>
    <w:uiPriority w:val="99"/>
    <w:semiHidden/>
    <w:unhideWhenUsed/>
    <w:rsid w:val="00D97B1B"/>
    <w:rPr>
      <w:color w:val="605E5C"/>
      <w:shd w:val="clear" w:color="auto" w:fill="E1DFDD"/>
    </w:rPr>
  </w:style>
  <w:style w:type="paragraph" w:styleId="ListParagraph">
    <w:name w:val="List Paragraph"/>
    <w:basedOn w:val="Normal"/>
    <w:uiPriority w:val="34"/>
    <w:qFormat/>
    <w:rsid w:val="00C6455F"/>
    <w:pPr>
      <w:ind w:left="720"/>
      <w:contextualSpacing/>
    </w:pPr>
  </w:style>
  <w:style w:type="paragraph" w:styleId="Header">
    <w:name w:val="header"/>
    <w:basedOn w:val="Normal"/>
    <w:link w:val="HeaderChar"/>
    <w:uiPriority w:val="99"/>
    <w:unhideWhenUsed/>
    <w:rsid w:val="00745F17"/>
    <w:pPr>
      <w:tabs>
        <w:tab w:val="center" w:pos="4680"/>
        <w:tab w:val="right" w:pos="9360"/>
      </w:tabs>
    </w:pPr>
  </w:style>
  <w:style w:type="character" w:customStyle="1" w:styleId="HeaderChar">
    <w:name w:val="Header Char"/>
    <w:basedOn w:val="DefaultParagraphFont"/>
    <w:link w:val="Header"/>
    <w:uiPriority w:val="99"/>
    <w:rsid w:val="00745F17"/>
  </w:style>
  <w:style w:type="paragraph" w:styleId="Footer">
    <w:name w:val="footer"/>
    <w:basedOn w:val="Normal"/>
    <w:link w:val="FooterChar"/>
    <w:uiPriority w:val="99"/>
    <w:unhideWhenUsed/>
    <w:rsid w:val="00745F17"/>
    <w:pPr>
      <w:tabs>
        <w:tab w:val="center" w:pos="4680"/>
        <w:tab w:val="right" w:pos="9360"/>
      </w:tabs>
    </w:pPr>
  </w:style>
  <w:style w:type="character" w:customStyle="1" w:styleId="FooterChar">
    <w:name w:val="Footer Char"/>
    <w:basedOn w:val="DefaultParagraphFont"/>
    <w:link w:val="Footer"/>
    <w:uiPriority w:val="99"/>
    <w:rsid w:val="00745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660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iaosf.org/inheriting-patients-on-opioid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WTwZ76oPT3w" TargetMode="External"/><Relationship Id="rId12" Type="http://schemas.openxmlformats.org/officeDocument/2006/relationships/hyperlink" Target="https://www.scopeofpain.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overdose-prevention/hcp/trainings/tapering.html?CDC_AAref_Val=https://www.cdc.gov/drugoverdose/pdf/clinical_pocket_guide_tapering-a.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phc.hrsa.gov/technical-assistance" TargetMode="External"/><Relationship Id="rId4" Type="http://schemas.openxmlformats.org/officeDocument/2006/relationships/webSettings" Target="webSettings.xml"/><Relationship Id="rId9" Type="http://schemas.openxmlformats.org/officeDocument/2006/relationships/hyperlink" Target="https://www.cdc.gov/overdose-prevention/hcp/toolkits/2022-clinical-practice-guideline-partner-toolkit.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Warner MD</dc:creator>
  <cp:keywords/>
  <dc:description/>
  <cp:lastModifiedBy>Pasch, Shelby (DHHS-Contractor)</cp:lastModifiedBy>
  <cp:revision>2</cp:revision>
  <dcterms:created xsi:type="dcterms:W3CDTF">2024-07-03T14:58:00Z</dcterms:created>
  <dcterms:modified xsi:type="dcterms:W3CDTF">2024-07-03T14:58:00Z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2024-07-03T12:16:44Z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574982bc-a11d-42fd-b4d4-dc1a96bb1fa2</vt:lpwstr>
  </property>
  <property fmtid="{D5CDD505-2E9C-101B-9397-08002B2CF9AE}" pid="8" name="MSIP_Label_3a2fed65-62e7-46ea-af74-187e0c17143a_ContentBits">
    <vt:lpwstr>0</vt:lpwstr>
  </property>
</Properties>
</file>