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1493" w14:textId="2EEC1963" w:rsidR="00F2181C" w:rsidRPr="00EE4B43" w:rsidRDefault="002315DB" w:rsidP="00F2181C">
      <w:pPr>
        <w:widowControl w:val="0"/>
        <w:tabs>
          <w:tab w:val="left" w:pos="5580"/>
        </w:tabs>
        <w:autoSpaceDE w:val="0"/>
        <w:autoSpaceDN w:val="0"/>
        <w:adjustRightInd w:val="0"/>
        <w:rPr>
          <w:rFonts w:cs="Arial"/>
          <w:sz w:val="24"/>
          <w:szCs w:val="24"/>
        </w:rPr>
      </w:pPr>
      <w:r w:rsidRPr="002315DB">
        <w:rPr>
          <w:rFonts w:cs="Arial"/>
          <w:sz w:val="24"/>
          <w:szCs w:val="24"/>
        </w:rPr>
        <w:t>Dawson Development Partners LLC</w:t>
      </w:r>
      <w:r w:rsidR="00F2181C" w:rsidRPr="00EE4B43">
        <w:rPr>
          <w:rFonts w:cs="Arial"/>
          <w:sz w:val="24"/>
          <w:szCs w:val="24"/>
        </w:rPr>
        <w:t>,</w:t>
      </w:r>
      <w:r w:rsidR="00F2181C" w:rsidRPr="00EE4B43">
        <w:rPr>
          <w:rFonts w:cs="Arial"/>
          <w:sz w:val="24"/>
          <w:szCs w:val="24"/>
        </w:rPr>
        <w:tab/>
        <w:t>MICHIGAN TAX TRIBUNAL</w:t>
      </w:r>
    </w:p>
    <w:p w14:paraId="16452026" w14:textId="230AEBFE" w:rsidR="00F2181C" w:rsidRPr="00EE4B43" w:rsidRDefault="00F2181C" w:rsidP="00F2181C">
      <w:pPr>
        <w:widowControl w:val="0"/>
        <w:tabs>
          <w:tab w:val="left" w:pos="720"/>
          <w:tab w:val="left" w:pos="5580"/>
        </w:tabs>
        <w:autoSpaceDE w:val="0"/>
        <w:autoSpaceDN w:val="0"/>
        <w:adjustRightInd w:val="0"/>
        <w:rPr>
          <w:rFonts w:cs="Arial"/>
          <w:sz w:val="24"/>
          <w:szCs w:val="24"/>
        </w:rPr>
      </w:pPr>
      <w:r w:rsidRPr="00EE4B43">
        <w:rPr>
          <w:rFonts w:cs="Arial"/>
          <w:sz w:val="24"/>
          <w:szCs w:val="24"/>
        </w:rPr>
        <w:tab/>
        <w:t>Petitioner,</w:t>
      </w:r>
      <w:r w:rsidR="00FF4636">
        <w:rPr>
          <w:rFonts w:cs="Arial"/>
          <w:sz w:val="24"/>
          <w:szCs w:val="24"/>
        </w:rPr>
        <w:tab/>
      </w:r>
    </w:p>
    <w:p w14:paraId="74EF15FD" w14:textId="77777777" w:rsidR="00F2181C" w:rsidRPr="00EE4B43" w:rsidRDefault="00F2181C" w:rsidP="00F2181C">
      <w:pPr>
        <w:widowControl w:val="0"/>
        <w:tabs>
          <w:tab w:val="left" w:pos="-1440"/>
        </w:tabs>
        <w:autoSpaceDE w:val="0"/>
        <w:autoSpaceDN w:val="0"/>
        <w:adjustRightInd w:val="0"/>
        <w:ind w:left="5760" w:hanging="5760"/>
        <w:rPr>
          <w:rFonts w:cs="Arial"/>
          <w:sz w:val="24"/>
          <w:szCs w:val="24"/>
        </w:rPr>
      </w:pPr>
    </w:p>
    <w:p w14:paraId="132B6FFE" w14:textId="70AC74D4" w:rsidR="00F2181C" w:rsidRPr="00EE4B43" w:rsidRDefault="00F2181C" w:rsidP="00F2181C">
      <w:pPr>
        <w:widowControl w:val="0"/>
        <w:tabs>
          <w:tab w:val="left" w:pos="5040"/>
          <w:tab w:val="left" w:pos="5580"/>
        </w:tabs>
        <w:autoSpaceDE w:val="0"/>
        <w:autoSpaceDN w:val="0"/>
        <w:adjustRightInd w:val="0"/>
        <w:rPr>
          <w:rFonts w:cs="Arial"/>
          <w:sz w:val="24"/>
          <w:szCs w:val="24"/>
        </w:rPr>
      </w:pPr>
      <w:r w:rsidRPr="00EE4B43">
        <w:rPr>
          <w:rFonts w:cs="Arial"/>
          <w:sz w:val="24"/>
          <w:szCs w:val="24"/>
        </w:rPr>
        <w:t>v</w:t>
      </w:r>
      <w:r w:rsidRPr="00EE4B43">
        <w:rPr>
          <w:rFonts w:cs="Arial"/>
          <w:sz w:val="24"/>
          <w:szCs w:val="24"/>
        </w:rPr>
        <w:tab/>
      </w:r>
      <w:r w:rsidRPr="00EE4B43">
        <w:rPr>
          <w:rFonts w:cs="Arial"/>
          <w:sz w:val="24"/>
          <w:szCs w:val="24"/>
        </w:rPr>
        <w:tab/>
      </w:r>
      <w:r w:rsidR="000E07DE">
        <w:rPr>
          <w:rFonts w:cs="Arial"/>
          <w:sz w:val="24"/>
          <w:szCs w:val="24"/>
        </w:rPr>
        <w:t>MTT</w:t>
      </w:r>
      <w:r w:rsidRPr="00EE4B43">
        <w:rPr>
          <w:rFonts w:cs="Arial"/>
          <w:sz w:val="24"/>
          <w:szCs w:val="24"/>
        </w:rPr>
        <w:t xml:space="preserve"> Docket No. </w:t>
      </w:r>
      <w:bookmarkStart w:id="0" w:name="Text2"/>
      <w:r w:rsidR="00473DB3" w:rsidRPr="00473DB3">
        <w:rPr>
          <w:rFonts w:cs="Arial"/>
          <w:sz w:val="24"/>
          <w:szCs w:val="24"/>
        </w:rPr>
        <w:t>25-001609</w:t>
      </w:r>
      <w:r w:rsidRPr="00EE4B43">
        <w:rPr>
          <w:rFonts w:cs="Arial"/>
          <w:sz w:val="24"/>
          <w:szCs w:val="24"/>
        </w:rPr>
        <w:t xml:space="preserve"> </w:t>
      </w:r>
      <w:bookmarkEnd w:id="0"/>
    </w:p>
    <w:p w14:paraId="0474181A" w14:textId="77777777" w:rsidR="00F2181C" w:rsidRPr="00EE4B43" w:rsidRDefault="00F2181C" w:rsidP="00F2181C">
      <w:pPr>
        <w:widowControl w:val="0"/>
        <w:autoSpaceDE w:val="0"/>
        <w:autoSpaceDN w:val="0"/>
        <w:adjustRightInd w:val="0"/>
        <w:rPr>
          <w:rFonts w:cs="Arial"/>
          <w:sz w:val="24"/>
          <w:szCs w:val="24"/>
        </w:rPr>
      </w:pPr>
    </w:p>
    <w:p w14:paraId="74CD5317" w14:textId="50FDEF35" w:rsidR="00F2181C" w:rsidRPr="00EE4B43" w:rsidRDefault="002315DB" w:rsidP="00F2181C">
      <w:pPr>
        <w:widowControl w:val="0"/>
        <w:tabs>
          <w:tab w:val="left" w:pos="5040"/>
          <w:tab w:val="left" w:pos="5580"/>
        </w:tabs>
        <w:autoSpaceDE w:val="0"/>
        <w:autoSpaceDN w:val="0"/>
        <w:adjustRightInd w:val="0"/>
        <w:rPr>
          <w:rFonts w:cs="Arial"/>
          <w:sz w:val="24"/>
          <w:szCs w:val="24"/>
          <w:u w:val="single"/>
        </w:rPr>
      </w:pPr>
      <w:r w:rsidRPr="002315DB">
        <w:rPr>
          <w:rFonts w:cs="Arial"/>
          <w:sz w:val="24"/>
          <w:szCs w:val="24"/>
        </w:rPr>
        <w:t xml:space="preserve">City </w:t>
      </w:r>
      <w:r>
        <w:rPr>
          <w:rFonts w:cs="Arial"/>
          <w:sz w:val="24"/>
          <w:szCs w:val="24"/>
        </w:rPr>
        <w:t>o</w:t>
      </w:r>
      <w:r w:rsidRPr="002315DB">
        <w:rPr>
          <w:rFonts w:cs="Arial"/>
          <w:sz w:val="24"/>
          <w:szCs w:val="24"/>
        </w:rPr>
        <w:t>f Inkster</w:t>
      </w:r>
      <w:proofErr w:type="gramStart"/>
      <w:r w:rsidR="00F2181C" w:rsidRPr="00EE4B43">
        <w:rPr>
          <w:rFonts w:cs="Arial"/>
          <w:sz w:val="24"/>
          <w:szCs w:val="24"/>
        </w:rPr>
        <w:t>,</w:t>
      </w:r>
      <w:r w:rsidR="00F2181C" w:rsidRPr="00EE4B43">
        <w:rPr>
          <w:rFonts w:cs="Arial"/>
          <w:sz w:val="24"/>
          <w:szCs w:val="24"/>
        </w:rPr>
        <w:tab/>
      </w:r>
      <w:r w:rsidR="00F2181C" w:rsidRPr="00EE4B43">
        <w:rPr>
          <w:rFonts w:cs="Arial"/>
          <w:sz w:val="24"/>
          <w:szCs w:val="24"/>
        </w:rPr>
        <w:tab/>
      </w:r>
      <w:r w:rsidR="00F2181C" w:rsidRPr="00EE4B43">
        <w:rPr>
          <w:rFonts w:cs="Arial"/>
          <w:sz w:val="24"/>
          <w:szCs w:val="24"/>
          <w:u w:val="single"/>
        </w:rPr>
        <w:t>Presiding</w:t>
      </w:r>
      <w:proofErr w:type="gramEnd"/>
      <w:r w:rsidR="00F2181C" w:rsidRPr="00EE4B43">
        <w:rPr>
          <w:rFonts w:cs="Arial"/>
          <w:sz w:val="24"/>
          <w:szCs w:val="24"/>
          <w:u w:val="single"/>
        </w:rPr>
        <w:t xml:space="preserve"> Judge</w:t>
      </w:r>
    </w:p>
    <w:p w14:paraId="03F99BA9" w14:textId="635E91C2" w:rsidR="00F2181C" w:rsidRPr="00EE4B43" w:rsidRDefault="00F2181C" w:rsidP="00F2181C">
      <w:pPr>
        <w:widowControl w:val="0"/>
        <w:tabs>
          <w:tab w:val="left" w:pos="5040"/>
          <w:tab w:val="left" w:pos="5580"/>
        </w:tabs>
        <w:autoSpaceDE w:val="0"/>
        <w:autoSpaceDN w:val="0"/>
        <w:adjustRightInd w:val="0"/>
        <w:ind w:firstLine="720"/>
        <w:rPr>
          <w:rFonts w:cs="Arial"/>
          <w:sz w:val="24"/>
          <w:szCs w:val="24"/>
        </w:rPr>
      </w:pPr>
      <w:r w:rsidRPr="00EE4B43">
        <w:rPr>
          <w:rFonts w:cs="Arial"/>
          <w:sz w:val="24"/>
          <w:szCs w:val="24"/>
        </w:rPr>
        <w:t>Respondent.</w:t>
      </w:r>
      <w:r w:rsidRPr="00EE4B43">
        <w:rPr>
          <w:rFonts w:cs="Arial"/>
          <w:sz w:val="24"/>
          <w:szCs w:val="24"/>
        </w:rPr>
        <w:tab/>
      </w:r>
      <w:r w:rsidRPr="00EE4B43">
        <w:rPr>
          <w:rFonts w:cs="Arial"/>
          <w:sz w:val="24"/>
          <w:szCs w:val="24"/>
        </w:rPr>
        <w:tab/>
      </w:r>
      <w:r w:rsidR="00BD53C6" w:rsidRPr="00BD53C6">
        <w:rPr>
          <w:rFonts w:cs="Arial"/>
          <w:sz w:val="24"/>
          <w:szCs w:val="24"/>
        </w:rPr>
        <w:t>Patricia L. Halm</w:t>
      </w:r>
    </w:p>
    <w:p w14:paraId="692701ED" w14:textId="4D600DDE" w:rsidR="004B32AC" w:rsidRPr="00EE4B43" w:rsidRDefault="004B32AC">
      <w:pPr>
        <w:rPr>
          <w:sz w:val="24"/>
          <w:szCs w:val="24"/>
        </w:rPr>
      </w:pPr>
    </w:p>
    <w:p w14:paraId="2FBECDCB" w14:textId="7EFF0607" w:rsidR="00FE4A48" w:rsidRDefault="00FE4A48" w:rsidP="00EE4B43">
      <w:pPr>
        <w:widowControl w:val="0"/>
        <w:tabs>
          <w:tab w:val="center" w:pos="4680"/>
        </w:tabs>
        <w:autoSpaceDE w:val="0"/>
        <w:autoSpaceDN w:val="0"/>
        <w:adjustRightInd w:val="0"/>
        <w:jc w:val="center"/>
        <w:rPr>
          <w:rFonts w:eastAsia="Times New Roman" w:cs="Times New Roman"/>
          <w:smallCaps/>
          <w:sz w:val="24"/>
          <w:szCs w:val="24"/>
          <w:u w:val="single"/>
        </w:rPr>
      </w:pPr>
      <w:r w:rsidRPr="00FE4A48">
        <w:rPr>
          <w:rFonts w:eastAsia="Times New Roman" w:cs="Times New Roman"/>
          <w:smallCaps/>
          <w:sz w:val="24"/>
          <w:szCs w:val="24"/>
          <w:u w:val="single"/>
        </w:rPr>
        <w:t xml:space="preserve">ORDER </w:t>
      </w:r>
      <w:r>
        <w:rPr>
          <w:rFonts w:eastAsia="Times New Roman" w:cs="Times New Roman"/>
          <w:smallCaps/>
          <w:sz w:val="24"/>
          <w:szCs w:val="24"/>
          <w:u w:val="single"/>
        </w:rPr>
        <w:t>GRANTING</w:t>
      </w:r>
      <w:r w:rsidRPr="00FE4A48">
        <w:rPr>
          <w:rFonts w:eastAsia="Times New Roman" w:cs="Times New Roman"/>
          <w:smallCaps/>
          <w:sz w:val="24"/>
          <w:szCs w:val="24"/>
          <w:u w:val="single"/>
        </w:rPr>
        <w:t xml:space="preserve"> RESPONDENT’S MOTION FOR IMMEDIATE CONSIDERATION</w:t>
      </w:r>
    </w:p>
    <w:p w14:paraId="3316341B" w14:textId="77777777" w:rsidR="00FE4A48" w:rsidRDefault="00FE4A48" w:rsidP="00EE4B43">
      <w:pPr>
        <w:widowControl w:val="0"/>
        <w:tabs>
          <w:tab w:val="center" w:pos="4680"/>
        </w:tabs>
        <w:autoSpaceDE w:val="0"/>
        <w:autoSpaceDN w:val="0"/>
        <w:adjustRightInd w:val="0"/>
        <w:jc w:val="center"/>
        <w:rPr>
          <w:rFonts w:eastAsia="Times New Roman" w:cs="Times New Roman"/>
          <w:smallCaps/>
          <w:sz w:val="24"/>
          <w:szCs w:val="24"/>
          <w:u w:val="single"/>
        </w:rPr>
      </w:pPr>
    </w:p>
    <w:p w14:paraId="37B7A253" w14:textId="0093EF62" w:rsidR="00EE4B43" w:rsidRDefault="00EE4B43" w:rsidP="00EE4B43">
      <w:pPr>
        <w:widowControl w:val="0"/>
        <w:tabs>
          <w:tab w:val="center" w:pos="4680"/>
        </w:tabs>
        <w:autoSpaceDE w:val="0"/>
        <w:autoSpaceDN w:val="0"/>
        <w:adjustRightInd w:val="0"/>
        <w:jc w:val="center"/>
        <w:rPr>
          <w:rFonts w:eastAsia="Times New Roman" w:cs="Times New Roman"/>
          <w:smallCaps/>
          <w:sz w:val="24"/>
          <w:szCs w:val="24"/>
          <w:u w:val="single"/>
        </w:rPr>
      </w:pPr>
      <w:r w:rsidRPr="00EE4B43">
        <w:rPr>
          <w:rFonts w:eastAsia="Times New Roman" w:cs="Times New Roman"/>
          <w:smallCaps/>
          <w:sz w:val="24"/>
          <w:szCs w:val="24"/>
          <w:u w:val="single"/>
        </w:rPr>
        <w:t xml:space="preserve">ORDER </w:t>
      </w:r>
      <w:r w:rsidR="0062078B">
        <w:rPr>
          <w:rFonts w:eastAsia="Times New Roman" w:cs="Times New Roman"/>
          <w:smallCaps/>
          <w:sz w:val="24"/>
          <w:szCs w:val="24"/>
          <w:u w:val="single"/>
        </w:rPr>
        <w:t>PLACING</w:t>
      </w:r>
      <w:r w:rsidRPr="00EE4B43">
        <w:rPr>
          <w:rFonts w:eastAsia="Times New Roman" w:cs="Times New Roman"/>
          <w:smallCaps/>
          <w:sz w:val="24"/>
          <w:szCs w:val="24"/>
          <w:u w:val="single"/>
        </w:rPr>
        <w:t xml:space="preserve"> </w:t>
      </w:r>
      <w:r w:rsidRPr="00EE4B43">
        <w:rPr>
          <w:rFonts w:eastAsia="Times New Roman" w:cs="Times New Roman"/>
          <w:sz w:val="24"/>
          <w:szCs w:val="24"/>
          <w:u w:val="single"/>
        </w:rPr>
        <w:fldChar w:fldCharType="begin"/>
      </w:r>
      <w:r w:rsidRPr="00EE4B43">
        <w:rPr>
          <w:rFonts w:eastAsia="Times New Roman" w:cs="Times New Roman"/>
          <w:sz w:val="24"/>
          <w:szCs w:val="24"/>
          <w:u w:val="single"/>
        </w:rPr>
        <w:instrText xml:space="preserve"> MERGEFIELD  "PETITIONER or RESPONDENT"  \* MERGEFORMAT </w:instrText>
      </w:r>
      <w:r w:rsidRPr="00EE4B43">
        <w:rPr>
          <w:rFonts w:eastAsia="Times New Roman" w:cs="Times New Roman"/>
          <w:sz w:val="24"/>
          <w:szCs w:val="24"/>
          <w:u w:val="single"/>
        </w:rPr>
        <w:fldChar w:fldCharType="separate"/>
      </w:r>
      <w:r w:rsidRPr="00EE4B43">
        <w:rPr>
          <w:rFonts w:eastAsia="Times New Roman" w:cs="Times New Roman"/>
          <w:noProof/>
          <w:sz w:val="24"/>
          <w:szCs w:val="24"/>
          <w:u w:val="single"/>
        </w:rPr>
        <w:t>RESPONDENT</w:t>
      </w:r>
      <w:r w:rsidRPr="00EE4B43">
        <w:rPr>
          <w:rFonts w:eastAsia="Times New Roman" w:cs="Times New Roman"/>
          <w:sz w:val="24"/>
          <w:szCs w:val="24"/>
          <w:u w:val="single"/>
        </w:rPr>
        <w:fldChar w:fldCharType="end"/>
      </w:r>
      <w:r w:rsidRPr="00EE4B43">
        <w:rPr>
          <w:rFonts w:eastAsia="Times New Roman" w:cs="Times New Roman"/>
          <w:sz w:val="24"/>
          <w:szCs w:val="24"/>
          <w:u w:val="single"/>
        </w:rPr>
        <w:t xml:space="preserve">’S </w:t>
      </w:r>
      <w:r w:rsidRPr="00EE4B43">
        <w:rPr>
          <w:rFonts w:eastAsia="Times New Roman" w:cs="Times New Roman"/>
          <w:smallCaps/>
          <w:sz w:val="24"/>
          <w:szCs w:val="24"/>
          <w:u w:val="single"/>
        </w:rPr>
        <w:t>MOTION TO COMPEL</w:t>
      </w:r>
      <w:r w:rsidR="0062078B">
        <w:rPr>
          <w:rFonts w:eastAsia="Times New Roman" w:cs="Times New Roman"/>
          <w:smallCaps/>
          <w:sz w:val="24"/>
          <w:szCs w:val="24"/>
          <w:u w:val="single"/>
        </w:rPr>
        <w:t xml:space="preserve"> IN ABEYANCE</w:t>
      </w:r>
    </w:p>
    <w:p w14:paraId="012910A0" w14:textId="77777777" w:rsidR="0062078B" w:rsidRDefault="0062078B" w:rsidP="00EE4B43">
      <w:pPr>
        <w:widowControl w:val="0"/>
        <w:tabs>
          <w:tab w:val="center" w:pos="4680"/>
        </w:tabs>
        <w:autoSpaceDE w:val="0"/>
        <w:autoSpaceDN w:val="0"/>
        <w:adjustRightInd w:val="0"/>
        <w:jc w:val="center"/>
        <w:rPr>
          <w:rFonts w:eastAsia="Times New Roman" w:cs="Times New Roman"/>
          <w:smallCaps/>
          <w:sz w:val="24"/>
          <w:szCs w:val="24"/>
          <w:u w:val="single"/>
        </w:rPr>
      </w:pPr>
    </w:p>
    <w:p w14:paraId="1160A393" w14:textId="21092232" w:rsidR="0062078B" w:rsidRDefault="0062078B" w:rsidP="00EE4B43">
      <w:pPr>
        <w:widowControl w:val="0"/>
        <w:tabs>
          <w:tab w:val="center" w:pos="4680"/>
        </w:tabs>
        <w:autoSpaceDE w:val="0"/>
        <w:autoSpaceDN w:val="0"/>
        <w:adjustRightInd w:val="0"/>
        <w:jc w:val="center"/>
        <w:rPr>
          <w:rFonts w:eastAsia="Times New Roman" w:cs="Times New Roman"/>
          <w:smallCaps/>
          <w:sz w:val="24"/>
          <w:szCs w:val="24"/>
          <w:u w:val="single"/>
        </w:rPr>
      </w:pPr>
      <w:r>
        <w:rPr>
          <w:rFonts w:eastAsia="Times New Roman" w:cs="Times New Roman"/>
          <w:smallCaps/>
          <w:sz w:val="24"/>
          <w:szCs w:val="24"/>
          <w:u w:val="single"/>
        </w:rPr>
        <w:t>NOTICE OF HEARING PURSUANT TO TTR 247(6)</w:t>
      </w:r>
    </w:p>
    <w:p w14:paraId="0713D715" w14:textId="77777777" w:rsidR="00E92769" w:rsidRDefault="00E92769" w:rsidP="00EE4B43">
      <w:pPr>
        <w:widowControl w:val="0"/>
        <w:tabs>
          <w:tab w:val="center" w:pos="4680"/>
        </w:tabs>
        <w:autoSpaceDE w:val="0"/>
        <w:autoSpaceDN w:val="0"/>
        <w:adjustRightInd w:val="0"/>
        <w:jc w:val="center"/>
        <w:rPr>
          <w:rFonts w:eastAsia="Times New Roman" w:cs="Times New Roman"/>
          <w:smallCaps/>
          <w:sz w:val="24"/>
          <w:szCs w:val="24"/>
          <w:u w:val="single"/>
        </w:rPr>
      </w:pPr>
    </w:p>
    <w:p w14:paraId="5838EB9C" w14:textId="16476458" w:rsidR="00E92769" w:rsidRDefault="00E92769" w:rsidP="00E92769">
      <w:pPr>
        <w:widowControl w:val="0"/>
        <w:tabs>
          <w:tab w:val="center" w:pos="4680"/>
        </w:tabs>
        <w:autoSpaceDE w:val="0"/>
        <w:autoSpaceDN w:val="0"/>
        <w:adjustRightInd w:val="0"/>
        <w:jc w:val="center"/>
        <w:rPr>
          <w:rFonts w:eastAsia="Times New Roman" w:cs="Times New Roman"/>
          <w:smallCaps/>
          <w:sz w:val="24"/>
          <w:szCs w:val="24"/>
          <w:u w:val="single"/>
        </w:rPr>
      </w:pPr>
      <w:r w:rsidRPr="00EE4B43">
        <w:rPr>
          <w:rFonts w:eastAsia="Times New Roman" w:cs="Times New Roman"/>
          <w:smallCaps/>
          <w:sz w:val="24"/>
          <w:szCs w:val="24"/>
          <w:u w:val="single"/>
        </w:rPr>
        <w:t xml:space="preserve">ORDER </w:t>
      </w:r>
      <w:r w:rsidR="00420FF6">
        <w:rPr>
          <w:rFonts w:eastAsia="Times New Roman" w:cs="Times New Roman"/>
          <w:smallCaps/>
          <w:sz w:val="24"/>
          <w:szCs w:val="24"/>
          <w:u w:val="single"/>
        </w:rPr>
        <w:t>GRANTING</w:t>
      </w:r>
      <w:r w:rsidRPr="00EE4B43">
        <w:rPr>
          <w:rFonts w:eastAsia="Times New Roman" w:cs="Times New Roman"/>
          <w:smallCaps/>
          <w:sz w:val="24"/>
          <w:szCs w:val="24"/>
          <w:u w:val="single"/>
        </w:rPr>
        <w:t xml:space="preserve"> </w:t>
      </w:r>
      <w:r w:rsidRPr="00EE4B43">
        <w:rPr>
          <w:rFonts w:eastAsia="Times New Roman" w:cs="Times New Roman"/>
          <w:sz w:val="24"/>
          <w:szCs w:val="24"/>
          <w:u w:val="single"/>
        </w:rPr>
        <w:fldChar w:fldCharType="begin"/>
      </w:r>
      <w:r w:rsidRPr="00EE4B43">
        <w:rPr>
          <w:rFonts w:eastAsia="Times New Roman" w:cs="Times New Roman"/>
          <w:sz w:val="24"/>
          <w:szCs w:val="24"/>
          <w:u w:val="single"/>
        </w:rPr>
        <w:instrText xml:space="preserve"> MERGEFIELD  "PETITIONER or RESPONDENT"  \* MERGEFORMAT </w:instrText>
      </w:r>
      <w:r w:rsidRPr="00EE4B43">
        <w:rPr>
          <w:rFonts w:eastAsia="Times New Roman" w:cs="Times New Roman"/>
          <w:sz w:val="24"/>
          <w:szCs w:val="24"/>
          <w:u w:val="single"/>
        </w:rPr>
        <w:fldChar w:fldCharType="separate"/>
      </w:r>
      <w:r w:rsidRPr="00EE4B43">
        <w:rPr>
          <w:rFonts w:eastAsia="Times New Roman" w:cs="Times New Roman"/>
          <w:noProof/>
          <w:sz w:val="24"/>
          <w:szCs w:val="24"/>
          <w:u w:val="single"/>
        </w:rPr>
        <w:t>RESPONDENT</w:t>
      </w:r>
      <w:r w:rsidRPr="00EE4B43">
        <w:rPr>
          <w:rFonts w:eastAsia="Times New Roman" w:cs="Times New Roman"/>
          <w:sz w:val="24"/>
          <w:szCs w:val="24"/>
          <w:u w:val="single"/>
        </w:rPr>
        <w:fldChar w:fldCharType="end"/>
      </w:r>
      <w:r w:rsidRPr="00EE4B43">
        <w:rPr>
          <w:rFonts w:eastAsia="Times New Roman" w:cs="Times New Roman"/>
          <w:sz w:val="24"/>
          <w:szCs w:val="24"/>
          <w:u w:val="single"/>
        </w:rPr>
        <w:t xml:space="preserve">’S </w:t>
      </w:r>
      <w:r w:rsidR="00B4532B">
        <w:rPr>
          <w:rFonts w:eastAsia="Times New Roman" w:cs="Times New Roman"/>
          <w:smallCaps/>
          <w:sz w:val="24"/>
          <w:szCs w:val="24"/>
          <w:u w:val="single"/>
        </w:rPr>
        <w:t>MOTION TO EXTEND</w:t>
      </w:r>
    </w:p>
    <w:p w14:paraId="51599650" w14:textId="77777777" w:rsidR="00A24C1F" w:rsidRDefault="00A24C1F" w:rsidP="00E92769">
      <w:pPr>
        <w:widowControl w:val="0"/>
        <w:tabs>
          <w:tab w:val="center" w:pos="4680"/>
        </w:tabs>
        <w:autoSpaceDE w:val="0"/>
        <w:autoSpaceDN w:val="0"/>
        <w:adjustRightInd w:val="0"/>
        <w:jc w:val="center"/>
        <w:rPr>
          <w:rFonts w:eastAsia="Times New Roman" w:cs="Times New Roman"/>
          <w:smallCaps/>
          <w:sz w:val="24"/>
          <w:szCs w:val="24"/>
          <w:u w:val="single"/>
        </w:rPr>
      </w:pPr>
    </w:p>
    <w:p w14:paraId="2FD08D2B" w14:textId="77777777" w:rsidR="00A24C1F" w:rsidRDefault="00A24C1F" w:rsidP="00A24C1F">
      <w:pPr>
        <w:jc w:val="center"/>
        <w:rPr>
          <w:rFonts w:cs="Arial"/>
          <w:sz w:val="24"/>
          <w:szCs w:val="24"/>
          <w:u w:val="single"/>
        </w:rPr>
      </w:pPr>
      <w:r w:rsidRPr="00960A8A">
        <w:rPr>
          <w:sz w:val="24"/>
          <w:szCs w:val="24"/>
          <w:u w:val="single"/>
        </w:rPr>
        <w:t xml:space="preserve">ORDER REMOVING CASE FROM </w:t>
      </w:r>
      <w:r>
        <w:rPr>
          <w:rFonts w:cs="Arial"/>
          <w:sz w:val="24"/>
          <w:szCs w:val="24"/>
          <w:u w:val="single"/>
        </w:rPr>
        <w:t>OCTOBER 1-15, 2026</w:t>
      </w:r>
    </w:p>
    <w:p w14:paraId="6AD87F04" w14:textId="5B7843DE" w:rsidR="00A24C1F" w:rsidRPr="00960A8A" w:rsidRDefault="00A24C1F" w:rsidP="00A24C1F">
      <w:pPr>
        <w:jc w:val="center"/>
        <w:rPr>
          <w:sz w:val="24"/>
          <w:szCs w:val="24"/>
          <w:u w:val="single"/>
        </w:rPr>
      </w:pPr>
      <w:r w:rsidRPr="00960A8A">
        <w:rPr>
          <w:sz w:val="24"/>
          <w:szCs w:val="24"/>
          <w:u w:val="single"/>
        </w:rPr>
        <w:t>PREHEARING GENERAL CALL</w:t>
      </w:r>
    </w:p>
    <w:p w14:paraId="0E8DB64A" w14:textId="77777777" w:rsidR="00A24C1F" w:rsidRPr="00960A8A" w:rsidRDefault="00A24C1F" w:rsidP="00A24C1F">
      <w:pPr>
        <w:jc w:val="center"/>
        <w:rPr>
          <w:sz w:val="24"/>
          <w:szCs w:val="24"/>
          <w:u w:val="single"/>
        </w:rPr>
      </w:pPr>
    </w:p>
    <w:p w14:paraId="6D96F5D8" w14:textId="52B90076" w:rsidR="00A24C1F" w:rsidRPr="00960A8A" w:rsidRDefault="00A24C1F" w:rsidP="00A24C1F">
      <w:pPr>
        <w:jc w:val="center"/>
        <w:rPr>
          <w:sz w:val="24"/>
          <w:szCs w:val="24"/>
          <w:u w:val="single"/>
        </w:rPr>
      </w:pPr>
      <w:r w:rsidRPr="00960A8A">
        <w:rPr>
          <w:sz w:val="24"/>
          <w:szCs w:val="24"/>
          <w:u w:val="single"/>
        </w:rPr>
        <w:t xml:space="preserve">ORDER PLACING CASE ON </w:t>
      </w:r>
      <w:r w:rsidR="0061596D">
        <w:rPr>
          <w:rFonts w:cs="Arial"/>
          <w:sz w:val="24"/>
          <w:szCs w:val="24"/>
          <w:u w:val="single"/>
        </w:rPr>
        <w:t xml:space="preserve">FEBRUARY 16-26, </w:t>
      </w:r>
      <w:proofErr w:type="gramStart"/>
      <w:r w:rsidR="0061596D">
        <w:rPr>
          <w:rFonts w:cs="Arial"/>
          <w:sz w:val="24"/>
          <w:szCs w:val="24"/>
          <w:u w:val="single"/>
        </w:rPr>
        <w:t>2027</w:t>
      </w:r>
      <w:proofErr w:type="gramEnd"/>
      <w:r w:rsidRPr="00960A8A">
        <w:rPr>
          <w:rFonts w:cs="Arial"/>
          <w:sz w:val="24"/>
          <w:szCs w:val="24"/>
          <w:u w:val="single"/>
        </w:rPr>
        <w:t xml:space="preserve"> </w:t>
      </w:r>
      <w:r w:rsidRPr="00960A8A">
        <w:rPr>
          <w:sz w:val="24"/>
          <w:szCs w:val="24"/>
          <w:u w:val="single"/>
        </w:rPr>
        <w:t xml:space="preserve">PREHEARING GENERAL CALL </w:t>
      </w:r>
    </w:p>
    <w:p w14:paraId="1ADB19E1" w14:textId="77777777" w:rsidR="00EE4B43" w:rsidRPr="00EE4B43" w:rsidRDefault="00EE4B43" w:rsidP="00EE4B43">
      <w:pPr>
        <w:widowControl w:val="0"/>
        <w:autoSpaceDE w:val="0"/>
        <w:autoSpaceDN w:val="0"/>
        <w:adjustRightInd w:val="0"/>
        <w:rPr>
          <w:rFonts w:eastAsia="Times New Roman" w:cs="Times New Roman"/>
          <w:sz w:val="24"/>
          <w:szCs w:val="24"/>
        </w:rPr>
      </w:pPr>
    </w:p>
    <w:p w14:paraId="1160D00E" w14:textId="54D33839" w:rsidR="0037711D" w:rsidRPr="00856DFC" w:rsidRDefault="00EE4B43" w:rsidP="00EE4B43">
      <w:pPr>
        <w:widowControl w:val="0"/>
        <w:autoSpaceDE w:val="0"/>
        <w:autoSpaceDN w:val="0"/>
        <w:adjustRightInd w:val="0"/>
        <w:rPr>
          <w:rFonts w:eastAsia="Times New Roman" w:cs="Times New Roman"/>
          <w:sz w:val="24"/>
          <w:szCs w:val="24"/>
        </w:rPr>
      </w:pPr>
      <w:r w:rsidRPr="00EE4B43">
        <w:rPr>
          <w:rFonts w:eastAsia="Times New Roman" w:cs="Times New Roman"/>
          <w:sz w:val="24"/>
          <w:szCs w:val="24"/>
        </w:rPr>
        <w:t xml:space="preserve">On </w:t>
      </w:r>
      <w:r w:rsidR="00BD53C6">
        <w:rPr>
          <w:rFonts w:eastAsia="Times New Roman" w:cs="Times New Roman"/>
          <w:sz w:val="24"/>
          <w:szCs w:val="24"/>
        </w:rPr>
        <w:t>May 11, 2026</w:t>
      </w:r>
      <w:r w:rsidRPr="00EE4B43">
        <w:rPr>
          <w:rFonts w:eastAsia="Times New Roman" w:cs="Times New Roman"/>
          <w:sz w:val="24"/>
          <w:szCs w:val="24"/>
        </w:rPr>
        <w:t xml:space="preserve">, </w:t>
      </w:r>
      <w:r w:rsidRPr="00EE4B43">
        <w:rPr>
          <w:rFonts w:eastAsia="Times New Roman" w:cs="Times New Roman"/>
          <w:sz w:val="24"/>
          <w:szCs w:val="24"/>
        </w:rPr>
        <w:fldChar w:fldCharType="begin"/>
      </w:r>
      <w:r w:rsidRPr="00EE4B43">
        <w:rPr>
          <w:rFonts w:eastAsia="Times New Roman" w:cs="Times New Roman"/>
          <w:sz w:val="24"/>
          <w:szCs w:val="24"/>
        </w:rPr>
        <w:instrText xml:space="preserve"> MERGEFIELD  "Petitioner or Respondent"  \* MERGEFORMAT </w:instrText>
      </w:r>
      <w:r w:rsidRPr="00EE4B43">
        <w:rPr>
          <w:rFonts w:eastAsia="Times New Roman" w:cs="Times New Roman"/>
          <w:sz w:val="24"/>
          <w:szCs w:val="24"/>
        </w:rPr>
        <w:fldChar w:fldCharType="separate"/>
      </w:r>
      <w:r w:rsidRPr="00EE4B43">
        <w:rPr>
          <w:rFonts w:eastAsia="Times New Roman" w:cs="Times New Roman"/>
          <w:noProof/>
          <w:sz w:val="24"/>
          <w:szCs w:val="24"/>
        </w:rPr>
        <w:t>Respondent</w:t>
      </w:r>
      <w:r w:rsidRPr="00EE4B43">
        <w:rPr>
          <w:rFonts w:eastAsia="Times New Roman" w:cs="Times New Roman"/>
          <w:sz w:val="24"/>
          <w:szCs w:val="24"/>
        </w:rPr>
        <w:fldChar w:fldCharType="end"/>
      </w:r>
      <w:r w:rsidRPr="00EE4B43">
        <w:rPr>
          <w:rFonts w:eastAsia="Times New Roman" w:cs="Times New Roman"/>
          <w:sz w:val="24"/>
          <w:szCs w:val="24"/>
        </w:rPr>
        <w:t xml:space="preserve"> filed a motion requesting that the Tribunal compel </w:t>
      </w:r>
      <w:r w:rsidR="00F05E7A">
        <w:rPr>
          <w:rFonts w:eastAsia="Times New Roman" w:cs="Times New Roman"/>
          <w:sz w:val="24"/>
          <w:szCs w:val="24"/>
        </w:rPr>
        <w:t xml:space="preserve">supplemental discovery </w:t>
      </w:r>
      <w:r w:rsidR="00943593">
        <w:rPr>
          <w:rFonts w:eastAsia="Times New Roman" w:cs="Times New Roman"/>
          <w:sz w:val="24"/>
          <w:szCs w:val="24"/>
        </w:rPr>
        <w:t xml:space="preserve">based on </w:t>
      </w:r>
      <w:r w:rsidRPr="00EE4B43">
        <w:rPr>
          <w:rFonts w:eastAsia="Times New Roman" w:cs="Times New Roman"/>
          <w:sz w:val="24"/>
          <w:szCs w:val="24"/>
        </w:rPr>
        <w:fldChar w:fldCharType="begin"/>
      </w:r>
      <w:r w:rsidRPr="00EE4B43">
        <w:rPr>
          <w:rFonts w:eastAsia="Times New Roman" w:cs="Times New Roman"/>
          <w:sz w:val="24"/>
          <w:szCs w:val="24"/>
        </w:rPr>
        <w:instrText xml:space="preserve"> MERGEFIELD  "Petitioner or Respondent"  \* MERGEFORMAT </w:instrText>
      </w:r>
      <w:r w:rsidRPr="00EE4B43">
        <w:rPr>
          <w:rFonts w:eastAsia="Times New Roman" w:cs="Times New Roman"/>
          <w:sz w:val="24"/>
          <w:szCs w:val="24"/>
        </w:rPr>
        <w:fldChar w:fldCharType="separate"/>
      </w:r>
      <w:r w:rsidRPr="00EE4B43">
        <w:rPr>
          <w:rFonts w:eastAsia="Times New Roman" w:cs="Times New Roman"/>
          <w:noProof/>
          <w:sz w:val="24"/>
          <w:szCs w:val="24"/>
        </w:rPr>
        <w:t>Petitioner</w:t>
      </w:r>
      <w:r w:rsidRPr="00EE4B43">
        <w:rPr>
          <w:rFonts w:eastAsia="Times New Roman" w:cs="Times New Roman"/>
          <w:sz w:val="24"/>
          <w:szCs w:val="24"/>
        </w:rPr>
        <w:fldChar w:fldCharType="end"/>
      </w:r>
      <w:r w:rsidR="00943593">
        <w:rPr>
          <w:rFonts w:eastAsia="Times New Roman" w:cs="Times New Roman"/>
          <w:sz w:val="24"/>
          <w:szCs w:val="24"/>
        </w:rPr>
        <w:t>’s response</w:t>
      </w:r>
      <w:r w:rsidRPr="00EE4B43">
        <w:rPr>
          <w:rFonts w:eastAsia="Times New Roman" w:cs="Times New Roman"/>
          <w:sz w:val="24"/>
          <w:szCs w:val="24"/>
        </w:rPr>
        <w:t>s</w:t>
      </w:r>
      <w:r w:rsidR="00943593">
        <w:rPr>
          <w:rFonts w:eastAsia="Times New Roman" w:cs="Times New Roman"/>
          <w:sz w:val="24"/>
          <w:szCs w:val="24"/>
        </w:rPr>
        <w:t xml:space="preserve"> to the discovery requests </w:t>
      </w:r>
      <w:r w:rsidRPr="00EE4B43">
        <w:rPr>
          <w:rFonts w:eastAsia="Times New Roman" w:cs="Times New Roman"/>
          <w:sz w:val="24"/>
          <w:szCs w:val="24"/>
        </w:rPr>
        <w:t xml:space="preserve">which were served on or about </w:t>
      </w:r>
      <w:r w:rsidR="00F05E7A">
        <w:rPr>
          <w:rFonts w:eastAsia="Times New Roman" w:cs="Times New Roman"/>
          <w:sz w:val="24"/>
          <w:szCs w:val="24"/>
        </w:rPr>
        <w:t>April 6, 2026</w:t>
      </w:r>
      <w:r w:rsidRPr="00EE4B43">
        <w:rPr>
          <w:rFonts w:eastAsia="Times New Roman" w:cs="Times New Roman"/>
          <w:sz w:val="24"/>
          <w:szCs w:val="24"/>
        </w:rPr>
        <w:t>.</w:t>
      </w:r>
      <w:r w:rsidR="0078159F">
        <w:rPr>
          <w:rFonts w:eastAsia="Times New Roman" w:cs="Times New Roman"/>
          <w:sz w:val="24"/>
          <w:szCs w:val="24"/>
        </w:rPr>
        <w:t xml:space="preserve">  In support of its Motion to Compel Supplemental Discovery Responses from Petitioner, Motion to Extend the Prehearing General Call, and Motion for Immediate Consideration (“Motion”), Respondent </w:t>
      </w:r>
      <w:r w:rsidR="006939E8">
        <w:rPr>
          <w:rFonts w:eastAsia="Times New Roman" w:cs="Times New Roman"/>
          <w:sz w:val="24"/>
          <w:szCs w:val="24"/>
        </w:rPr>
        <w:t xml:space="preserve">states </w:t>
      </w:r>
      <w:r w:rsidR="008C458A">
        <w:rPr>
          <w:rFonts w:eastAsia="Times New Roman" w:cs="Times New Roman"/>
          <w:sz w:val="24"/>
          <w:szCs w:val="24"/>
        </w:rPr>
        <w:t xml:space="preserve">that </w:t>
      </w:r>
      <w:r w:rsidR="00073987">
        <w:rPr>
          <w:rFonts w:eastAsia="Times New Roman" w:cs="Times New Roman"/>
          <w:sz w:val="24"/>
          <w:szCs w:val="24"/>
        </w:rPr>
        <w:t>Petitioner’s response to Respondent’s</w:t>
      </w:r>
      <w:r w:rsidR="005A4BF2">
        <w:rPr>
          <w:rFonts w:eastAsia="Times New Roman" w:cs="Times New Roman"/>
          <w:sz w:val="24"/>
          <w:szCs w:val="24"/>
        </w:rPr>
        <w:t xml:space="preserve"> discovery requests </w:t>
      </w:r>
      <w:r w:rsidR="00073987">
        <w:rPr>
          <w:rFonts w:eastAsia="Times New Roman" w:cs="Times New Roman"/>
          <w:sz w:val="24"/>
          <w:szCs w:val="24"/>
        </w:rPr>
        <w:t xml:space="preserve">indicated that </w:t>
      </w:r>
      <w:r w:rsidR="00DA3A31">
        <w:rPr>
          <w:rFonts w:eastAsia="Times New Roman" w:cs="Times New Roman"/>
          <w:sz w:val="24"/>
          <w:szCs w:val="24"/>
        </w:rPr>
        <w:t xml:space="preserve">it did not have any appraisals, value estimates, value conclusions, or mortgage appraisal for the subject property completed in the last three years.  </w:t>
      </w:r>
      <w:r w:rsidR="00334372">
        <w:rPr>
          <w:rFonts w:eastAsia="Times New Roman" w:cs="Times New Roman"/>
          <w:sz w:val="24"/>
          <w:szCs w:val="24"/>
        </w:rPr>
        <w:t xml:space="preserve">However, Petitioner produced a settlement statement that referenced an appraisal fee </w:t>
      </w:r>
      <w:r w:rsidR="00F96655">
        <w:rPr>
          <w:rFonts w:eastAsia="Times New Roman" w:cs="Times New Roman"/>
          <w:sz w:val="24"/>
          <w:szCs w:val="24"/>
        </w:rPr>
        <w:t>related to the March 2025 sale of the subject property.</w:t>
      </w:r>
      <w:r w:rsidR="00F6499D">
        <w:rPr>
          <w:rFonts w:eastAsia="Times New Roman" w:cs="Times New Roman"/>
          <w:sz w:val="24"/>
          <w:szCs w:val="24"/>
        </w:rPr>
        <w:t xml:space="preserve">  Respondent asserts that </w:t>
      </w:r>
      <w:r w:rsidR="003319DA">
        <w:rPr>
          <w:rFonts w:eastAsia="Times New Roman" w:cs="Times New Roman"/>
          <w:sz w:val="24"/>
          <w:szCs w:val="24"/>
        </w:rPr>
        <w:t xml:space="preserve">it is entitled to the appraisal as is it relevant to the valuation of the subject property and </w:t>
      </w:r>
      <w:r w:rsidR="00856DFC" w:rsidRPr="00856DFC">
        <w:rPr>
          <w:sz w:val="24"/>
          <w:szCs w:val="24"/>
        </w:rPr>
        <w:t>“[</w:t>
      </w:r>
      <w:proofErr w:type="spellStart"/>
      <w:r w:rsidR="00856DFC" w:rsidRPr="00856DFC">
        <w:rPr>
          <w:sz w:val="24"/>
          <w:szCs w:val="24"/>
        </w:rPr>
        <w:t>i</w:t>
      </w:r>
      <w:proofErr w:type="spellEnd"/>
      <w:r w:rsidR="00856DFC" w:rsidRPr="00856DFC">
        <w:rPr>
          <w:sz w:val="24"/>
          <w:szCs w:val="24"/>
        </w:rPr>
        <w:t>]</w:t>
      </w:r>
      <w:r w:rsidR="0037711D" w:rsidRPr="00856DFC">
        <w:rPr>
          <w:sz w:val="24"/>
          <w:szCs w:val="24"/>
        </w:rPr>
        <w:t>t seems highly unlikely and simply implausible that Petitioner is not in possession, custody, or control of an appraisal for a multimillion-dollar sale that occurred less than three months after the applicable tax day when Petitioner has initiated an appeal protesting the subject property’s true cash value.</w:t>
      </w:r>
      <w:r w:rsidR="00856DFC" w:rsidRPr="00856DFC">
        <w:rPr>
          <w:sz w:val="24"/>
          <w:szCs w:val="24"/>
        </w:rPr>
        <w:t>”</w:t>
      </w:r>
      <w:r w:rsidR="001B120D">
        <w:rPr>
          <w:sz w:val="24"/>
          <w:szCs w:val="24"/>
        </w:rPr>
        <w:t xml:space="preserve">  Based on Petitioner’s failure to provide the appraisal, </w:t>
      </w:r>
      <w:r w:rsidR="00692420">
        <w:rPr>
          <w:sz w:val="24"/>
          <w:szCs w:val="24"/>
        </w:rPr>
        <w:t xml:space="preserve">Respondent requests an additional ninety days to review the appraisal, serve any discovery requests related to the </w:t>
      </w:r>
      <w:r w:rsidR="00A342D6">
        <w:rPr>
          <w:sz w:val="24"/>
          <w:szCs w:val="24"/>
        </w:rPr>
        <w:t>appraisal, explore settlement, and finalize</w:t>
      </w:r>
      <w:r w:rsidR="009B31EC">
        <w:rPr>
          <w:sz w:val="24"/>
          <w:szCs w:val="24"/>
        </w:rPr>
        <w:t xml:space="preserve"> </w:t>
      </w:r>
      <w:r w:rsidR="00A342D6">
        <w:rPr>
          <w:sz w:val="24"/>
          <w:szCs w:val="24"/>
        </w:rPr>
        <w:t xml:space="preserve">Respondent’s valuation disclosure. </w:t>
      </w:r>
    </w:p>
    <w:p w14:paraId="356BA799" w14:textId="77777777" w:rsidR="00AD4D4D" w:rsidRDefault="00AD4D4D" w:rsidP="00AD4D4D">
      <w:pPr>
        <w:widowControl w:val="0"/>
        <w:autoSpaceDE w:val="0"/>
        <w:autoSpaceDN w:val="0"/>
        <w:adjustRightInd w:val="0"/>
        <w:rPr>
          <w:rFonts w:eastAsia="Times New Roman" w:cs="Times New Roman"/>
          <w:sz w:val="24"/>
          <w:szCs w:val="24"/>
        </w:rPr>
      </w:pPr>
    </w:p>
    <w:p w14:paraId="0865DA6D" w14:textId="3296AD6D" w:rsidR="00AD4D4D" w:rsidRPr="00023237" w:rsidRDefault="00AD4D4D" w:rsidP="00111773">
      <w:pPr>
        <w:widowControl w:val="0"/>
        <w:autoSpaceDE w:val="0"/>
        <w:autoSpaceDN w:val="0"/>
        <w:adjustRightInd w:val="0"/>
        <w:rPr>
          <w:rFonts w:eastAsia="Times New Roman" w:cs="Times New Roman"/>
          <w:sz w:val="24"/>
          <w:szCs w:val="24"/>
        </w:rPr>
      </w:pPr>
      <w:r w:rsidRPr="00023237">
        <w:rPr>
          <w:rFonts w:eastAsia="Times New Roman" w:cs="Times New Roman"/>
          <w:sz w:val="24"/>
          <w:szCs w:val="24"/>
        </w:rPr>
        <w:t xml:space="preserve">On </w:t>
      </w:r>
      <w:r>
        <w:rPr>
          <w:rFonts w:eastAsia="Times New Roman" w:cs="Times New Roman"/>
          <w:sz w:val="24"/>
          <w:szCs w:val="24"/>
        </w:rPr>
        <w:t>May 18, 2026</w:t>
      </w:r>
      <w:r w:rsidRPr="00023237">
        <w:rPr>
          <w:rFonts w:eastAsia="Times New Roman" w:cs="Times New Roman"/>
          <w:sz w:val="24"/>
          <w:szCs w:val="24"/>
        </w:rPr>
        <w:t xml:space="preserve">, </w:t>
      </w:r>
      <w:r w:rsidRPr="00023237">
        <w:rPr>
          <w:rFonts w:eastAsia="Times New Roman" w:cs="Times New Roman"/>
          <w:sz w:val="24"/>
          <w:szCs w:val="24"/>
        </w:rPr>
        <w:fldChar w:fldCharType="begin"/>
      </w:r>
      <w:r w:rsidRPr="00023237">
        <w:rPr>
          <w:rFonts w:eastAsia="Times New Roman" w:cs="Times New Roman"/>
          <w:sz w:val="24"/>
          <w:szCs w:val="24"/>
        </w:rPr>
        <w:instrText xml:space="preserve"> MERGEFIELD  "Petitioner or Respondent"  \* MERGEFORMAT </w:instrText>
      </w:r>
      <w:r w:rsidRPr="00023237">
        <w:rPr>
          <w:rFonts w:eastAsia="Times New Roman" w:cs="Times New Roman"/>
          <w:sz w:val="24"/>
          <w:szCs w:val="24"/>
        </w:rPr>
        <w:fldChar w:fldCharType="separate"/>
      </w:r>
      <w:r w:rsidRPr="00023237">
        <w:rPr>
          <w:rFonts w:eastAsia="Times New Roman" w:cs="Times New Roman"/>
          <w:noProof/>
          <w:sz w:val="24"/>
          <w:szCs w:val="24"/>
        </w:rPr>
        <w:t>Petitioner</w:t>
      </w:r>
      <w:r w:rsidRPr="00023237">
        <w:rPr>
          <w:rFonts w:eastAsia="Times New Roman" w:cs="Times New Roman"/>
          <w:sz w:val="24"/>
          <w:szCs w:val="24"/>
        </w:rPr>
        <w:fldChar w:fldCharType="end"/>
      </w:r>
      <w:r w:rsidRPr="00023237">
        <w:rPr>
          <w:rFonts w:eastAsia="Times New Roman" w:cs="Times New Roman"/>
          <w:sz w:val="24"/>
          <w:szCs w:val="24"/>
        </w:rPr>
        <w:t xml:space="preserve"> filed a response to </w:t>
      </w:r>
      <w:r>
        <w:rPr>
          <w:rFonts w:eastAsia="Times New Roman" w:cs="Times New Roman"/>
          <w:sz w:val="24"/>
          <w:szCs w:val="24"/>
        </w:rPr>
        <w:t>Respondent’s M</w:t>
      </w:r>
      <w:r w:rsidRPr="00023237">
        <w:rPr>
          <w:rFonts w:eastAsia="Times New Roman" w:cs="Times New Roman"/>
          <w:sz w:val="24"/>
          <w:szCs w:val="24"/>
        </w:rPr>
        <w:t>otion</w:t>
      </w:r>
      <w:r>
        <w:rPr>
          <w:rFonts w:eastAsia="Times New Roman" w:cs="Times New Roman"/>
          <w:sz w:val="24"/>
          <w:szCs w:val="24"/>
        </w:rPr>
        <w:t xml:space="preserve">.  In the response, </w:t>
      </w:r>
      <w:r w:rsidRPr="00023237">
        <w:rPr>
          <w:rFonts w:eastAsia="Times New Roman" w:cs="Times New Roman"/>
          <w:sz w:val="24"/>
          <w:szCs w:val="24"/>
        </w:rPr>
        <w:lastRenderedPageBreak/>
        <w:fldChar w:fldCharType="begin"/>
      </w:r>
      <w:r w:rsidRPr="00023237">
        <w:rPr>
          <w:rFonts w:eastAsia="Times New Roman" w:cs="Times New Roman"/>
          <w:sz w:val="24"/>
          <w:szCs w:val="24"/>
        </w:rPr>
        <w:instrText xml:space="preserve"> MERGEFIELD  "Petitioner or Respondent"  \* MERGEFORMAT </w:instrText>
      </w:r>
      <w:r w:rsidRPr="00023237">
        <w:rPr>
          <w:rFonts w:eastAsia="Times New Roman" w:cs="Times New Roman"/>
          <w:sz w:val="24"/>
          <w:szCs w:val="24"/>
        </w:rPr>
        <w:fldChar w:fldCharType="separate"/>
      </w:r>
      <w:r w:rsidRPr="00023237">
        <w:rPr>
          <w:rFonts w:eastAsia="Times New Roman" w:cs="Times New Roman"/>
          <w:noProof/>
          <w:sz w:val="24"/>
          <w:szCs w:val="24"/>
        </w:rPr>
        <w:t>Petitioner</w:t>
      </w:r>
      <w:r w:rsidRPr="00023237">
        <w:rPr>
          <w:rFonts w:eastAsia="Times New Roman" w:cs="Times New Roman"/>
          <w:sz w:val="24"/>
          <w:szCs w:val="24"/>
        </w:rPr>
        <w:fldChar w:fldCharType="end"/>
      </w:r>
      <w:r w:rsidRPr="00023237">
        <w:rPr>
          <w:rFonts w:eastAsia="Times New Roman" w:cs="Times New Roman"/>
          <w:sz w:val="24"/>
          <w:szCs w:val="24"/>
        </w:rPr>
        <w:t xml:space="preserve"> </w:t>
      </w:r>
      <w:r>
        <w:rPr>
          <w:rFonts w:eastAsia="Times New Roman" w:cs="Times New Roman"/>
          <w:sz w:val="24"/>
          <w:szCs w:val="24"/>
        </w:rPr>
        <w:t>states that it</w:t>
      </w:r>
      <w:r w:rsidRPr="00023237">
        <w:rPr>
          <w:rFonts w:eastAsia="Times New Roman" w:cs="Times New Roman"/>
          <w:sz w:val="24"/>
          <w:szCs w:val="24"/>
        </w:rPr>
        <w:t xml:space="preserve"> </w:t>
      </w:r>
      <w:r>
        <w:rPr>
          <w:rFonts w:eastAsia="Times New Roman" w:cs="Times New Roman"/>
          <w:sz w:val="24"/>
          <w:szCs w:val="24"/>
        </w:rPr>
        <w:t xml:space="preserve">does not have a copy of the appraisal to produce in response to Respondent’s request.  </w:t>
      </w:r>
      <w:r w:rsidR="001653E6">
        <w:rPr>
          <w:rFonts w:eastAsia="Times New Roman" w:cs="Times New Roman"/>
          <w:sz w:val="24"/>
          <w:szCs w:val="24"/>
        </w:rPr>
        <w:t>Petitioner</w:t>
      </w:r>
      <w:r>
        <w:rPr>
          <w:rFonts w:eastAsia="Times New Roman" w:cs="Times New Roman"/>
          <w:sz w:val="24"/>
          <w:szCs w:val="24"/>
        </w:rPr>
        <w:t xml:space="preserve"> also </w:t>
      </w:r>
      <w:r w:rsidR="00F71DCC">
        <w:rPr>
          <w:rFonts w:eastAsia="Times New Roman" w:cs="Times New Roman"/>
          <w:sz w:val="24"/>
          <w:szCs w:val="24"/>
        </w:rPr>
        <w:t xml:space="preserve">indicated that </w:t>
      </w:r>
      <w:r w:rsidR="00111773">
        <w:rPr>
          <w:rFonts w:eastAsia="Times New Roman" w:cs="Times New Roman"/>
          <w:sz w:val="24"/>
          <w:szCs w:val="24"/>
        </w:rPr>
        <w:t>“</w:t>
      </w:r>
      <w:r w:rsidR="00F71DCC">
        <w:rPr>
          <w:rFonts w:eastAsia="Times New Roman" w:cs="Times New Roman"/>
          <w:sz w:val="24"/>
          <w:szCs w:val="24"/>
        </w:rPr>
        <w:t>it did not object</w:t>
      </w:r>
      <w:r w:rsidR="00111773">
        <w:rPr>
          <w:rFonts w:eastAsia="Times New Roman" w:cs="Times New Roman"/>
          <w:sz w:val="24"/>
          <w:szCs w:val="24"/>
        </w:rPr>
        <w:t xml:space="preserve"> </w:t>
      </w:r>
      <w:r w:rsidR="00111773" w:rsidRPr="00111773">
        <w:rPr>
          <w:rFonts w:eastAsia="Times New Roman" w:cs="Times New Roman"/>
          <w:sz w:val="24"/>
          <w:szCs w:val="24"/>
        </w:rPr>
        <w:t xml:space="preserve">Respondent’s request to move the June 4, </w:t>
      </w:r>
      <w:proofErr w:type="gramStart"/>
      <w:r w:rsidR="00111773" w:rsidRPr="00111773">
        <w:rPr>
          <w:rFonts w:eastAsia="Times New Roman" w:cs="Times New Roman"/>
          <w:sz w:val="24"/>
          <w:szCs w:val="24"/>
        </w:rPr>
        <w:t>2026</w:t>
      </w:r>
      <w:proofErr w:type="gramEnd"/>
      <w:r w:rsidR="00111773" w:rsidRPr="00111773">
        <w:rPr>
          <w:rFonts w:eastAsia="Times New Roman" w:cs="Times New Roman"/>
          <w:sz w:val="24"/>
          <w:szCs w:val="24"/>
        </w:rPr>
        <w:t xml:space="preserve"> valuation</w:t>
      </w:r>
      <w:r w:rsidR="00111773">
        <w:rPr>
          <w:rFonts w:eastAsia="Times New Roman" w:cs="Times New Roman"/>
          <w:sz w:val="24"/>
          <w:szCs w:val="24"/>
        </w:rPr>
        <w:t xml:space="preserve"> </w:t>
      </w:r>
      <w:r w:rsidR="00111773" w:rsidRPr="00111773">
        <w:rPr>
          <w:rFonts w:eastAsia="Times New Roman" w:cs="Times New Roman"/>
          <w:sz w:val="24"/>
          <w:szCs w:val="24"/>
        </w:rPr>
        <w:t>disclosure date</w:t>
      </w:r>
      <w:r w:rsidR="00111773">
        <w:rPr>
          <w:rFonts w:eastAsia="Times New Roman" w:cs="Times New Roman"/>
          <w:sz w:val="24"/>
          <w:szCs w:val="24"/>
        </w:rPr>
        <w:t>.”</w:t>
      </w:r>
    </w:p>
    <w:p w14:paraId="69454C61" w14:textId="77777777" w:rsidR="00746782" w:rsidRPr="007D015D" w:rsidRDefault="00746782" w:rsidP="00746782">
      <w:pPr>
        <w:rPr>
          <w:sz w:val="24"/>
          <w:szCs w:val="24"/>
        </w:rPr>
      </w:pPr>
    </w:p>
    <w:p w14:paraId="12420CD7" w14:textId="1C8D9E48" w:rsidR="002E3460" w:rsidRDefault="00431C12" w:rsidP="00A22F6D">
      <w:pPr>
        <w:rPr>
          <w:sz w:val="24"/>
          <w:szCs w:val="24"/>
        </w:rPr>
      </w:pPr>
      <w:r w:rsidRPr="00431C12">
        <w:rPr>
          <w:sz w:val="24"/>
          <w:szCs w:val="24"/>
        </w:rPr>
        <w:t>The Tribunal has considered the motion,</w:t>
      </w:r>
      <w:bookmarkStart w:id="1" w:name="_Hlk22801808"/>
      <w:r w:rsidRPr="00431C12">
        <w:rPr>
          <w:sz w:val="24"/>
          <w:szCs w:val="24"/>
        </w:rPr>
        <w:t xml:space="preserve"> the</w:t>
      </w:r>
      <w:r w:rsidRPr="00431C12">
        <w:rPr>
          <w:rFonts w:eastAsia="Times New Roman" w:cs="Times New Roman"/>
          <w:sz w:val="24"/>
          <w:szCs w:val="24"/>
        </w:rPr>
        <w:t xml:space="preserve"> </w:t>
      </w:r>
      <w:r w:rsidR="00E84A89">
        <w:rPr>
          <w:sz w:val="24"/>
          <w:szCs w:val="24"/>
        </w:rPr>
        <w:t>response</w:t>
      </w:r>
      <w:r w:rsidRPr="00431C12">
        <w:rPr>
          <w:sz w:val="24"/>
          <w:szCs w:val="24"/>
        </w:rPr>
        <w:t>,</w:t>
      </w:r>
      <w:bookmarkEnd w:id="1"/>
      <w:r w:rsidRPr="00431C12">
        <w:rPr>
          <w:sz w:val="24"/>
          <w:szCs w:val="24"/>
        </w:rPr>
        <w:t xml:space="preserve"> and the case file and finds that immediate consideration </w:t>
      </w:r>
      <w:r w:rsidRPr="00431C12">
        <w:rPr>
          <w:sz w:val="24"/>
          <w:szCs w:val="24"/>
        </w:rPr>
        <w:fldChar w:fldCharType="begin"/>
      </w:r>
      <w:r w:rsidRPr="00431C12">
        <w:rPr>
          <w:sz w:val="24"/>
          <w:szCs w:val="24"/>
        </w:rPr>
        <w:instrText xml:space="preserve"> MERGEFIELD  "is or is not"  \* MERGEFORMAT </w:instrText>
      </w:r>
      <w:r w:rsidRPr="00431C12">
        <w:rPr>
          <w:sz w:val="24"/>
          <w:szCs w:val="24"/>
        </w:rPr>
        <w:fldChar w:fldCharType="separate"/>
      </w:r>
      <w:r w:rsidRPr="00431C12">
        <w:rPr>
          <w:noProof/>
          <w:sz w:val="24"/>
          <w:szCs w:val="24"/>
        </w:rPr>
        <w:t>is</w:t>
      </w:r>
      <w:r w:rsidRPr="00431C12">
        <w:rPr>
          <w:sz w:val="24"/>
          <w:szCs w:val="24"/>
        </w:rPr>
        <w:fldChar w:fldCharType="end"/>
      </w:r>
      <w:r w:rsidRPr="00431C12">
        <w:rPr>
          <w:sz w:val="24"/>
          <w:szCs w:val="24"/>
        </w:rPr>
        <w:t xml:space="preserve"> warranted, as the motion </w:t>
      </w:r>
      <w:r w:rsidRPr="00431C12">
        <w:rPr>
          <w:sz w:val="24"/>
          <w:szCs w:val="24"/>
        </w:rPr>
        <w:fldChar w:fldCharType="begin"/>
      </w:r>
      <w:r w:rsidRPr="00431C12">
        <w:rPr>
          <w:sz w:val="24"/>
          <w:szCs w:val="24"/>
        </w:rPr>
        <w:instrText xml:space="preserve"> MERGEFIELD  "complies or fails to comply"  \* MERGEFORMAT </w:instrText>
      </w:r>
      <w:r w:rsidRPr="00431C12">
        <w:rPr>
          <w:sz w:val="24"/>
          <w:szCs w:val="24"/>
        </w:rPr>
        <w:fldChar w:fldCharType="separate"/>
      </w:r>
      <w:r w:rsidRPr="00431C12">
        <w:rPr>
          <w:noProof/>
          <w:sz w:val="24"/>
          <w:szCs w:val="24"/>
        </w:rPr>
        <w:t>complies</w:t>
      </w:r>
      <w:r w:rsidRPr="00431C12">
        <w:rPr>
          <w:sz w:val="24"/>
          <w:szCs w:val="24"/>
        </w:rPr>
        <w:fldChar w:fldCharType="end"/>
      </w:r>
      <w:r w:rsidRPr="00431C12">
        <w:rPr>
          <w:sz w:val="24"/>
          <w:szCs w:val="24"/>
        </w:rPr>
        <w:t xml:space="preserve"> with TTR 231.</w:t>
      </w:r>
      <w:r w:rsidRPr="00431C12">
        <w:rPr>
          <w:sz w:val="24"/>
          <w:szCs w:val="24"/>
          <w:vertAlign w:val="superscript"/>
        </w:rPr>
        <w:footnoteReference w:id="1"/>
      </w:r>
      <w:r w:rsidR="00ED6314">
        <w:rPr>
          <w:sz w:val="24"/>
          <w:szCs w:val="24"/>
        </w:rPr>
        <w:t xml:space="preserve">  </w:t>
      </w:r>
      <w:r w:rsidR="00977A5A" w:rsidRPr="0024750C">
        <w:rPr>
          <w:sz w:val="24"/>
          <w:szCs w:val="24"/>
        </w:rPr>
        <w:t>Furthermore, the Tribunal finds that Respond</w:t>
      </w:r>
      <w:r w:rsidR="0080728A" w:rsidRPr="0024750C">
        <w:rPr>
          <w:sz w:val="24"/>
          <w:szCs w:val="24"/>
        </w:rPr>
        <w:t xml:space="preserve">ent </w:t>
      </w:r>
      <w:r w:rsidR="004A4F8E" w:rsidRPr="0024750C">
        <w:rPr>
          <w:sz w:val="24"/>
          <w:szCs w:val="24"/>
        </w:rPr>
        <w:t>has offered credible evidence that an appraisal exists</w:t>
      </w:r>
      <w:r w:rsidR="00332448">
        <w:rPr>
          <w:sz w:val="24"/>
          <w:szCs w:val="24"/>
        </w:rPr>
        <w:t>, in the form of the</w:t>
      </w:r>
      <w:r w:rsidR="00332448" w:rsidRPr="00332448">
        <w:rPr>
          <w:sz w:val="24"/>
          <w:szCs w:val="24"/>
        </w:rPr>
        <w:t xml:space="preserve"> Borrower’s Settlement Statement</w:t>
      </w:r>
      <w:r w:rsidR="00332448">
        <w:rPr>
          <w:sz w:val="24"/>
          <w:szCs w:val="24"/>
        </w:rPr>
        <w:t xml:space="preserve"> </w:t>
      </w:r>
      <w:r w:rsidR="00332448" w:rsidRPr="00332448">
        <w:rPr>
          <w:sz w:val="24"/>
          <w:szCs w:val="24"/>
        </w:rPr>
        <w:t>included as an ex</w:t>
      </w:r>
      <w:r w:rsidR="00332448">
        <w:rPr>
          <w:sz w:val="24"/>
          <w:szCs w:val="24"/>
        </w:rPr>
        <w:t xml:space="preserve">hibit to </w:t>
      </w:r>
      <w:r w:rsidR="00332448" w:rsidRPr="00332448">
        <w:rPr>
          <w:sz w:val="24"/>
          <w:szCs w:val="24"/>
        </w:rPr>
        <w:t xml:space="preserve">Respondent’s Motion </w:t>
      </w:r>
      <w:r w:rsidR="00A67B8B">
        <w:rPr>
          <w:sz w:val="24"/>
          <w:szCs w:val="24"/>
        </w:rPr>
        <w:t>demonstrating</w:t>
      </w:r>
      <w:r w:rsidR="00332448" w:rsidRPr="00332448">
        <w:rPr>
          <w:sz w:val="24"/>
          <w:szCs w:val="24"/>
        </w:rPr>
        <w:t xml:space="preserve"> an appraisal fee in the amount of $3,880</w:t>
      </w:r>
      <w:r w:rsidR="001726C9">
        <w:rPr>
          <w:sz w:val="24"/>
          <w:szCs w:val="24"/>
        </w:rPr>
        <w:t>.  F</w:t>
      </w:r>
      <w:r w:rsidR="00332448" w:rsidRPr="00332448">
        <w:rPr>
          <w:sz w:val="24"/>
          <w:szCs w:val="24"/>
        </w:rPr>
        <w:t>urther providing support for the existence of</w:t>
      </w:r>
      <w:r w:rsidR="008C161D">
        <w:rPr>
          <w:sz w:val="24"/>
          <w:szCs w:val="24"/>
        </w:rPr>
        <w:t xml:space="preserve"> the</w:t>
      </w:r>
      <w:r w:rsidR="00332448" w:rsidRPr="00332448">
        <w:rPr>
          <w:sz w:val="24"/>
          <w:szCs w:val="24"/>
        </w:rPr>
        <w:t xml:space="preserve"> appraisal valuing the subject property</w:t>
      </w:r>
      <w:r w:rsidR="001726C9">
        <w:rPr>
          <w:sz w:val="24"/>
          <w:szCs w:val="24"/>
        </w:rPr>
        <w:t xml:space="preserve"> is the fact that </w:t>
      </w:r>
      <w:r w:rsidR="00F52D6C" w:rsidRPr="00F52D6C">
        <w:rPr>
          <w:sz w:val="24"/>
          <w:szCs w:val="24"/>
        </w:rPr>
        <w:t>Petitioner’s response to Respondent’s Motion does not dispute the existence of the appraisal</w:t>
      </w:r>
      <w:r w:rsidR="00332448">
        <w:rPr>
          <w:sz w:val="24"/>
          <w:szCs w:val="24"/>
        </w:rPr>
        <w:t>.</w:t>
      </w:r>
      <w:r w:rsidR="00F4115A">
        <w:rPr>
          <w:sz w:val="24"/>
          <w:szCs w:val="24"/>
        </w:rPr>
        <w:t xml:space="preserve">  While Petitioner claims that the </w:t>
      </w:r>
      <w:r w:rsidR="00F4115A" w:rsidRPr="00F4115A">
        <w:rPr>
          <w:sz w:val="24"/>
          <w:szCs w:val="24"/>
        </w:rPr>
        <w:t xml:space="preserve">appraisal </w:t>
      </w:r>
      <w:r w:rsidR="002D436E">
        <w:rPr>
          <w:sz w:val="24"/>
          <w:szCs w:val="24"/>
        </w:rPr>
        <w:t>“</w:t>
      </w:r>
      <w:r w:rsidR="00F4115A" w:rsidRPr="00F4115A">
        <w:rPr>
          <w:sz w:val="24"/>
          <w:szCs w:val="24"/>
        </w:rPr>
        <w:t>has zero evidentiary value in this tax appeal</w:t>
      </w:r>
      <w:r w:rsidR="002D436E">
        <w:rPr>
          <w:sz w:val="24"/>
          <w:szCs w:val="24"/>
        </w:rPr>
        <w:t xml:space="preserve">,” </w:t>
      </w:r>
      <w:r w:rsidR="004F3E70" w:rsidRPr="004F3E70">
        <w:rPr>
          <w:sz w:val="24"/>
          <w:szCs w:val="24"/>
        </w:rPr>
        <w:t>any appraisal</w:t>
      </w:r>
      <w:r w:rsidR="004F3E70">
        <w:rPr>
          <w:sz w:val="24"/>
          <w:szCs w:val="24"/>
        </w:rPr>
        <w:t xml:space="preserve"> prepared contemporaneous with the acquisition of the subject property</w:t>
      </w:r>
      <w:r w:rsidR="004F3E70" w:rsidRPr="004F3E70">
        <w:rPr>
          <w:sz w:val="24"/>
          <w:szCs w:val="24"/>
        </w:rPr>
        <w:t xml:space="preserve"> may have some relevance</w:t>
      </w:r>
      <w:r w:rsidR="004F3E70">
        <w:rPr>
          <w:sz w:val="24"/>
          <w:szCs w:val="24"/>
        </w:rPr>
        <w:t xml:space="preserve"> to issues presented in the above-referenced case</w:t>
      </w:r>
      <w:r w:rsidR="004F3E70" w:rsidRPr="004F3E70">
        <w:rPr>
          <w:sz w:val="24"/>
          <w:szCs w:val="24"/>
        </w:rPr>
        <w:t>.</w:t>
      </w:r>
      <w:r w:rsidR="002E3460">
        <w:rPr>
          <w:sz w:val="24"/>
          <w:szCs w:val="24"/>
        </w:rPr>
        <w:t xml:space="preserve">  </w:t>
      </w:r>
    </w:p>
    <w:p w14:paraId="318F767E" w14:textId="77777777" w:rsidR="002E3460" w:rsidRDefault="002E3460" w:rsidP="00A22F6D">
      <w:pPr>
        <w:rPr>
          <w:sz w:val="24"/>
          <w:szCs w:val="24"/>
        </w:rPr>
      </w:pPr>
    </w:p>
    <w:p w14:paraId="1FD8C6C8" w14:textId="77777777" w:rsidR="00600F20" w:rsidRDefault="002E3460" w:rsidP="00A22F6D">
      <w:pPr>
        <w:rPr>
          <w:sz w:val="24"/>
          <w:szCs w:val="24"/>
        </w:rPr>
      </w:pPr>
      <w:r>
        <w:rPr>
          <w:sz w:val="24"/>
          <w:szCs w:val="24"/>
        </w:rPr>
        <w:t xml:space="preserve">Here, </w:t>
      </w:r>
      <w:r w:rsidR="002813CD">
        <w:rPr>
          <w:sz w:val="24"/>
          <w:szCs w:val="24"/>
        </w:rPr>
        <w:t>even though</w:t>
      </w:r>
      <w:r w:rsidR="004A4F8E" w:rsidRPr="0024750C">
        <w:rPr>
          <w:sz w:val="24"/>
          <w:szCs w:val="24"/>
        </w:rPr>
        <w:t xml:space="preserve"> Petitioner</w:t>
      </w:r>
      <w:r w:rsidR="008C4770" w:rsidRPr="0024750C">
        <w:rPr>
          <w:sz w:val="24"/>
          <w:szCs w:val="24"/>
        </w:rPr>
        <w:t xml:space="preserve">’s discovery responses </w:t>
      </w:r>
      <w:r w:rsidR="002B0D72" w:rsidRPr="0024750C">
        <w:rPr>
          <w:sz w:val="24"/>
          <w:szCs w:val="24"/>
        </w:rPr>
        <w:t xml:space="preserve">indicate that </w:t>
      </w:r>
      <w:r w:rsidR="0073770F" w:rsidRPr="0024750C">
        <w:rPr>
          <w:sz w:val="24"/>
          <w:szCs w:val="24"/>
        </w:rPr>
        <w:t xml:space="preserve">Petitioner </w:t>
      </w:r>
      <w:r w:rsidR="006F5290">
        <w:rPr>
          <w:sz w:val="24"/>
          <w:szCs w:val="24"/>
        </w:rPr>
        <w:t>was</w:t>
      </w:r>
      <w:r w:rsidR="002E492E">
        <w:rPr>
          <w:sz w:val="24"/>
          <w:szCs w:val="24"/>
        </w:rPr>
        <w:t xml:space="preserve"> not in possession of the appraisal</w:t>
      </w:r>
      <w:r w:rsidR="006F5290">
        <w:rPr>
          <w:sz w:val="24"/>
          <w:szCs w:val="24"/>
        </w:rPr>
        <w:t xml:space="preserve"> at the time the discovery responses were prepared</w:t>
      </w:r>
      <w:r w:rsidR="002E492E">
        <w:rPr>
          <w:sz w:val="24"/>
          <w:szCs w:val="24"/>
        </w:rPr>
        <w:t xml:space="preserve">, </w:t>
      </w:r>
      <w:r w:rsidR="006F5290">
        <w:rPr>
          <w:sz w:val="24"/>
          <w:szCs w:val="24"/>
        </w:rPr>
        <w:t>the</w:t>
      </w:r>
      <w:r w:rsidR="004A4F8E" w:rsidRPr="0024750C">
        <w:rPr>
          <w:sz w:val="24"/>
          <w:szCs w:val="24"/>
        </w:rPr>
        <w:t xml:space="preserve"> </w:t>
      </w:r>
      <w:r w:rsidR="00303EE3">
        <w:rPr>
          <w:sz w:val="24"/>
          <w:szCs w:val="24"/>
        </w:rPr>
        <w:t xml:space="preserve">discovery responses fail to </w:t>
      </w:r>
      <w:r w:rsidR="003F24C9">
        <w:rPr>
          <w:sz w:val="24"/>
          <w:szCs w:val="24"/>
        </w:rPr>
        <w:t xml:space="preserve">provide additional details as to </w:t>
      </w:r>
      <w:r w:rsidR="003F24C9" w:rsidRPr="003F24C9">
        <w:rPr>
          <w:sz w:val="24"/>
          <w:szCs w:val="24"/>
        </w:rPr>
        <w:t xml:space="preserve">whether Petitioner </w:t>
      </w:r>
      <w:r w:rsidR="00A068A5">
        <w:rPr>
          <w:sz w:val="24"/>
          <w:szCs w:val="24"/>
        </w:rPr>
        <w:t>was ever in possession of the appraisal</w:t>
      </w:r>
      <w:r w:rsidR="00600F20">
        <w:rPr>
          <w:sz w:val="24"/>
          <w:szCs w:val="24"/>
        </w:rPr>
        <w:t xml:space="preserve"> and, if so, </w:t>
      </w:r>
      <w:r w:rsidR="00B5310C">
        <w:rPr>
          <w:sz w:val="24"/>
          <w:szCs w:val="24"/>
        </w:rPr>
        <w:t xml:space="preserve">why Petitioner no longer has a copy of the appraisal, whether </w:t>
      </w:r>
      <w:r w:rsidR="000E78A4">
        <w:rPr>
          <w:sz w:val="24"/>
          <w:szCs w:val="24"/>
        </w:rPr>
        <w:t>Petitioner</w:t>
      </w:r>
      <w:r w:rsidR="00B5310C">
        <w:rPr>
          <w:sz w:val="24"/>
          <w:szCs w:val="24"/>
        </w:rPr>
        <w:t xml:space="preserve"> </w:t>
      </w:r>
      <w:r w:rsidR="003F24C9" w:rsidRPr="003F24C9">
        <w:rPr>
          <w:sz w:val="24"/>
          <w:szCs w:val="24"/>
        </w:rPr>
        <w:t>failed to preserve discoverable information</w:t>
      </w:r>
      <w:r w:rsidR="00E34DE8">
        <w:rPr>
          <w:sz w:val="24"/>
          <w:szCs w:val="24"/>
        </w:rPr>
        <w:t xml:space="preserve">, </w:t>
      </w:r>
      <w:r w:rsidR="003F24C9" w:rsidRPr="003F24C9">
        <w:rPr>
          <w:sz w:val="24"/>
          <w:szCs w:val="24"/>
        </w:rPr>
        <w:t xml:space="preserve">or </w:t>
      </w:r>
      <w:r w:rsidR="00600F20">
        <w:rPr>
          <w:sz w:val="24"/>
          <w:szCs w:val="24"/>
        </w:rPr>
        <w:t>whether</w:t>
      </w:r>
      <w:r w:rsidR="00E34DE8">
        <w:rPr>
          <w:sz w:val="24"/>
          <w:szCs w:val="24"/>
        </w:rPr>
        <w:t xml:space="preserve"> </w:t>
      </w:r>
      <w:r w:rsidR="003F24C9" w:rsidRPr="003F24C9">
        <w:rPr>
          <w:sz w:val="24"/>
          <w:szCs w:val="24"/>
        </w:rPr>
        <w:t>Petitioner is not in possession of the appraisal for other reasons.</w:t>
      </w:r>
      <w:r w:rsidR="00427465">
        <w:rPr>
          <w:sz w:val="24"/>
          <w:szCs w:val="24"/>
        </w:rPr>
        <w:t xml:space="preserve">  </w:t>
      </w:r>
      <w:r w:rsidR="000E78A4">
        <w:rPr>
          <w:sz w:val="24"/>
          <w:szCs w:val="24"/>
        </w:rPr>
        <w:t xml:space="preserve">Further problematic is the fact that </w:t>
      </w:r>
      <w:r w:rsidR="0073770F" w:rsidRPr="0024750C">
        <w:rPr>
          <w:sz w:val="24"/>
          <w:szCs w:val="24"/>
        </w:rPr>
        <w:t xml:space="preserve">Petitioner’s Responses and Objections to Respondent’s First Request for Production of Documents </w:t>
      </w:r>
      <w:r w:rsidR="00F1495A" w:rsidRPr="0024750C">
        <w:rPr>
          <w:sz w:val="24"/>
          <w:szCs w:val="24"/>
        </w:rPr>
        <w:t xml:space="preserve">were signed by Petitioner’s </w:t>
      </w:r>
      <w:r w:rsidR="00B476E6" w:rsidRPr="0024750C">
        <w:rPr>
          <w:sz w:val="24"/>
          <w:szCs w:val="24"/>
        </w:rPr>
        <w:t xml:space="preserve">counsel </w:t>
      </w:r>
      <w:proofErr w:type="gramStart"/>
      <w:r w:rsidR="00B476E6" w:rsidRPr="0024750C">
        <w:rPr>
          <w:sz w:val="24"/>
          <w:szCs w:val="24"/>
        </w:rPr>
        <w:t>with regard to</w:t>
      </w:r>
      <w:proofErr w:type="gramEnd"/>
      <w:r w:rsidR="00B476E6" w:rsidRPr="0024750C">
        <w:rPr>
          <w:sz w:val="24"/>
          <w:szCs w:val="24"/>
        </w:rPr>
        <w:t xml:space="preserve"> the asserted legal objections, but no other in</w:t>
      </w:r>
      <w:r w:rsidR="0070014A" w:rsidRPr="0024750C">
        <w:rPr>
          <w:sz w:val="24"/>
          <w:szCs w:val="24"/>
        </w:rPr>
        <w:t xml:space="preserve">dividual attested to </w:t>
      </w:r>
      <w:r w:rsidR="00840DBF">
        <w:rPr>
          <w:sz w:val="24"/>
          <w:szCs w:val="24"/>
        </w:rPr>
        <w:t xml:space="preserve">the </w:t>
      </w:r>
      <w:r w:rsidR="0070014A" w:rsidRPr="0024750C">
        <w:rPr>
          <w:sz w:val="24"/>
          <w:szCs w:val="24"/>
        </w:rPr>
        <w:t>substantive answers to the discovery requests</w:t>
      </w:r>
      <w:r w:rsidR="002873B7">
        <w:rPr>
          <w:sz w:val="24"/>
          <w:szCs w:val="24"/>
        </w:rPr>
        <w:t>.</w:t>
      </w:r>
      <w:r w:rsidR="00B03FB9">
        <w:rPr>
          <w:sz w:val="24"/>
          <w:szCs w:val="24"/>
        </w:rPr>
        <w:t xml:space="preserve">  </w:t>
      </w:r>
    </w:p>
    <w:p w14:paraId="1994E150" w14:textId="77777777" w:rsidR="00600F20" w:rsidRDefault="00600F20" w:rsidP="00A22F6D">
      <w:pPr>
        <w:rPr>
          <w:sz w:val="24"/>
          <w:szCs w:val="24"/>
        </w:rPr>
      </w:pPr>
    </w:p>
    <w:p w14:paraId="598F937A" w14:textId="15055D35" w:rsidR="004A4F8E" w:rsidRDefault="0027083D" w:rsidP="00A22F6D">
      <w:pPr>
        <w:rPr>
          <w:sz w:val="24"/>
          <w:szCs w:val="24"/>
        </w:rPr>
      </w:pPr>
      <w:r>
        <w:rPr>
          <w:sz w:val="24"/>
          <w:szCs w:val="24"/>
        </w:rPr>
        <w:t>Tax Tribunal Rules provide that a party claiming that an “</w:t>
      </w:r>
      <w:r w:rsidR="00A30C73" w:rsidRPr="00A30C73">
        <w:rPr>
          <w:sz w:val="24"/>
          <w:szCs w:val="24"/>
        </w:rPr>
        <w:t>item is not in their possession or control</w:t>
      </w:r>
      <w:r w:rsidR="0065113D">
        <w:rPr>
          <w:sz w:val="24"/>
          <w:szCs w:val="24"/>
        </w:rPr>
        <w:t xml:space="preserve"> </w:t>
      </w:r>
      <w:r w:rsidR="00A30C73" w:rsidRPr="00A30C73">
        <w:rPr>
          <w:sz w:val="24"/>
          <w:szCs w:val="24"/>
        </w:rPr>
        <w:t>or that they do not have information calculated to lead to discovery of the</w:t>
      </w:r>
      <w:r w:rsidR="0065113D">
        <w:rPr>
          <w:sz w:val="24"/>
          <w:szCs w:val="24"/>
        </w:rPr>
        <w:t xml:space="preserve"> </w:t>
      </w:r>
      <w:r w:rsidR="00A30C73" w:rsidRPr="00A30C73">
        <w:rPr>
          <w:sz w:val="24"/>
          <w:szCs w:val="24"/>
        </w:rPr>
        <w:t>item’s whereabouts</w:t>
      </w:r>
      <w:r w:rsidR="00EF2948">
        <w:rPr>
          <w:sz w:val="24"/>
          <w:szCs w:val="24"/>
        </w:rPr>
        <w:t>…</w:t>
      </w:r>
      <w:r w:rsidR="00A30C73" w:rsidRPr="00A30C73">
        <w:rPr>
          <w:sz w:val="24"/>
          <w:szCs w:val="24"/>
        </w:rPr>
        <w:t>may be ordered to submit to examination</w:t>
      </w:r>
      <w:r w:rsidR="0065113D">
        <w:rPr>
          <w:sz w:val="24"/>
          <w:szCs w:val="24"/>
        </w:rPr>
        <w:t xml:space="preserve"> </w:t>
      </w:r>
      <w:r w:rsidR="0065113D" w:rsidRPr="0065113D">
        <w:rPr>
          <w:sz w:val="24"/>
          <w:szCs w:val="24"/>
        </w:rPr>
        <w:t>before the tribunal or to other means of discovery regarding the claim</w:t>
      </w:r>
      <w:r w:rsidR="00F50671">
        <w:rPr>
          <w:sz w:val="24"/>
          <w:szCs w:val="24"/>
        </w:rPr>
        <w:t>.</w:t>
      </w:r>
      <w:r>
        <w:rPr>
          <w:sz w:val="24"/>
          <w:szCs w:val="24"/>
        </w:rPr>
        <w:t>”</w:t>
      </w:r>
      <w:r w:rsidR="00F50671">
        <w:rPr>
          <w:rStyle w:val="FootnoteReference"/>
          <w:sz w:val="24"/>
          <w:szCs w:val="24"/>
        </w:rPr>
        <w:footnoteReference w:id="2"/>
      </w:r>
      <w:r w:rsidR="00F4115A">
        <w:rPr>
          <w:sz w:val="24"/>
          <w:szCs w:val="24"/>
        </w:rPr>
        <w:t xml:space="preserve">  </w:t>
      </w:r>
      <w:r w:rsidR="006738DE">
        <w:rPr>
          <w:sz w:val="24"/>
          <w:szCs w:val="24"/>
        </w:rPr>
        <w:t>As such</w:t>
      </w:r>
      <w:r w:rsidR="008B7123">
        <w:rPr>
          <w:sz w:val="24"/>
          <w:szCs w:val="24"/>
        </w:rPr>
        <w:t>, the</w:t>
      </w:r>
      <w:r w:rsidR="00B17EBE">
        <w:rPr>
          <w:sz w:val="24"/>
          <w:szCs w:val="24"/>
        </w:rPr>
        <w:t xml:space="preserve"> </w:t>
      </w:r>
      <w:r w:rsidR="007E6869" w:rsidRPr="007E6869">
        <w:rPr>
          <w:sz w:val="24"/>
          <w:szCs w:val="24"/>
        </w:rPr>
        <w:t xml:space="preserve">Tribunal finds </w:t>
      </w:r>
      <w:r w:rsidR="00600F20">
        <w:rPr>
          <w:sz w:val="24"/>
          <w:szCs w:val="24"/>
        </w:rPr>
        <w:t xml:space="preserve">it necessary to conduct </w:t>
      </w:r>
      <w:r w:rsidR="00B17EBE">
        <w:rPr>
          <w:sz w:val="24"/>
          <w:szCs w:val="24"/>
        </w:rPr>
        <w:t>a hearing to determine wh</w:t>
      </w:r>
      <w:r w:rsidR="00BA27A4">
        <w:rPr>
          <w:sz w:val="24"/>
          <w:szCs w:val="24"/>
        </w:rPr>
        <w:t>o provided the discovery responses and wh</w:t>
      </w:r>
      <w:r w:rsidR="00B17EBE">
        <w:rPr>
          <w:sz w:val="24"/>
          <w:szCs w:val="24"/>
        </w:rPr>
        <w:t xml:space="preserve">y </w:t>
      </w:r>
      <w:r w:rsidR="00542F25">
        <w:rPr>
          <w:sz w:val="24"/>
          <w:szCs w:val="24"/>
        </w:rPr>
        <w:t xml:space="preserve">Petitioner does not have possession or control of the appraisal.  </w:t>
      </w:r>
      <w:r w:rsidR="007E6869" w:rsidRPr="007E6869">
        <w:rPr>
          <w:sz w:val="24"/>
          <w:szCs w:val="24"/>
        </w:rPr>
        <w:t>Absent disclosing the appraisal</w:t>
      </w:r>
      <w:r w:rsidR="00542F25">
        <w:rPr>
          <w:sz w:val="24"/>
          <w:szCs w:val="24"/>
        </w:rPr>
        <w:t xml:space="preserve"> </w:t>
      </w:r>
      <w:r w:rsidR="007E6869" w:rsidRPr="007E6869">
        <w:rPr>
          <w:sz w:val="24"/>
          <w:szCs w:val="24"/>
        </w:rPr>
        <w:t xml:space="preserve">to Respondent, </w:t>
      </w:r>
      <w:r w:rsidR="0054122E">
        <w:rPr>
          <w:sz w:val="24"/>
          <w:szCs w:val="24"/>
        </w:rPr>
        <w:t>Petitioner</w:t>
      </w:r>
      <w:r w:rsidR="007E6869" w:rsidRPr="007E6869">
        <w:rPr>
          <w:sz w:val="24"/>
          <w:szCs w:val="24"/>
        </w:rPr>
        <w:t xml:space="preserve"> shall submit to examination before the Tribunal</w:t>
      </w:r>
      <w:r w:rsidR="0054122E">
        <w:rPr>
          <w:sz w:val="24"/>
          <w:szCs w:val="24"/>
        </w:rPr>
        <w:t xml:space="preserve"> as indicated herein</w:t>
      </w:r>
      <w:r w:rsidR="007E6869" w:rsidRPr="007E6869">
        <w:rPr>
          <w:sz w:val="24"/>
          <w:szCs w:val="24"/>
        </w:rPr>
        <w:t>.</w:t>
      </w:r>
    </w:p>
    <w:p w14:paraId="105474EF" w14:textId="77777777" w:rsidR="00C76E21" w:rsidRDefault="00C76E21" w:rsidP="00112537">
      <w:pPr>
        <w:widowControl w:val="0"/>
        <w:autoSpaceDE w:val="0"/>
        <w:autoSpaceDN w:val="0"/>
        <w:adjustRightInd w:val="0"/>
        <w:rPr>
          <w:rFonts w:eastAsia="Times New Roman" w:cs="Times New Roman"/>
          <w:sz w:val="24"/>
          <w:szCs w:val="24"/>
        </w:rPr>
      </w:pPr>
    </w:p>
    <w:p w14:paraId="45C152C6" w14:textId="2C8C6CAD" w:rsidR="00EE4B43" w:rsidRDefault="00BA27A4" w:rsidP="00112537">
      <w:pPr>
        <w:widowControl w:val="0"/>
        <w:autoSpaceDE w:val="0"/>
        <w:autoSpaceDN w:val="0"/>
        <w:adjustRightInd w:val="0"/>
        <w:rPr>
          <w:rFonts w:eastAsia="Times New Roman" w:cs="Times New Roman"/>
          <w:sz w:val="24"/>
          <w:szCs w:val="24"/>
        </w:rPr>
      </w:pPr>
      <w:r>
        <w:rPr>
          <w:rFonts w:eastAsia="Times New Roman" w:cs="Times New Roman"/>
          <w:sz w:val="24"/>
          <w:szCs w:val="24"/>
        </w:rPr>
        <w:t>Finally</w:t>
      </w:r>
      <w:r w:rsidR="00391C89">
        <w:rPr>
          <w:rFonts w:eastAsia="Times New Roman" w:cs="Times New Roman"/>
          <w:sz w:val="24"/>
          <w:szCs w:val="24"/>
        </w:rPr>
        <w:t xml:space="preserve">, </w:t>
      </w:r>
      <w:r w:rsidR="003D3B98">
        <w:rPr>
          <w:rFonts w:eastAsia="Times New Roman" w:cs="Times New Roman"/>
          <w:sz w:val="24"/>
          <w:szCs w:val="24"/>
        </w:rPr>
        <w:t xml:space="preserve">the </w:t>
      </w:r>
      <w:r w:rsidR="003D3B98" w:rsidRPr="003D3B98">
        <w:rPr>
          <w:rFonts w:eastAsia="Times New Roman" w:cs="Times New Roman"/>
          <w:sz w:val="24"/>
          <w:szCs w:val="24"/>
        </w:rPr>
        <w:t xml:space="preserve">Tribunal </w:t>
      </w:r>
      <w:r w:rsidR="008F0BDF" w:rsidRPr="00342C3E">
        <w:rPr>
          <w:sz w:val="24"/>
          <w:szCs w:val="24"/>
        </w:rPr>
        <w:t>finds that</w:t>
      </w:r>
      <w:r w:rsidR="008F0BDF">
        <w:rPr>
          <w:sz w:val="24"/>
          <w:szCs w:val="24"/>
        </w:rPr>
        <w:t xml:space="preserve"> </w:t>
      </w:r>
      <w:r w:rsidR="008F0BDF" w:rsidRPr="00342C3E">
        <w:rPr>
          <w:sz w:val="24"/>
          <w:szCs w:val="24"/>
        </w:rPr>
        <w:t xml:space="preserve">the parties have shown good cause </w:t>
      </w:r>
      <w:r w:rsidR="00420FF6">
        <w:rPr>
          <w:sz w:val="24"/>
          <w:szCs w:val="24"/>
        </w:rPr>
        <w:t>to</w:t>
      </w:r>
      <w:r w:rsidR="008F0BDF" w:rsidRPr="00342C3E">
        <w:rPr>
          <w:sz w:val="24"/>
          <w:szCs w:val="24"/>
        </w:rPr>
        <w:t xml:space="preserve"> </w:t>
      </w:r>
      <w:r w:rsidR="00420FF6">
        <w:rPr>
          <w:sz w:val="24"/>
          <w:szCs w:val="24"/>
        </w:rPr>
        <w:t>grant</w:t>
      </w:r>
      <w:r w:rsidR="008F0BDF" w:rsidRPr="00342C3E">
        <w:rPr>
          <w:sz w:val="24"/>
          <w:szCs w:val="24"/>
        </w:rPr>
        <w:t xml:space="preserve"> the requested extension </w:t>
      </w:r>
      <w:r w:rsidR="00420FF6">
        <w:rPr>
          <w:sz w:val="24"/>
          <w:szCs w:val="24"/>
        </w:rPr>
        <w:t>as it may</w:t>
      </w:r>
      <w:r w:rsidR="008F0BDF" w:rsidRPr="00342C3E">
        <w:rPr>
          <w:sz w:val="24"/>
          <w:szCs w:val="24"/>
        </w:rPr>
        <w:t xml:space="preserve"> facilitate the efficient administration of justice by providing the </w:t>
      </w:r>
      <w:proofErr w:type="gramStart"/>
      <w:r w:rsidR="008F0BDF" w:rsidRPr="00342C3E">
        <w:rPr>
          <w:sz w:val="24"/>
          <w:szCs w:val="24"/>
        </w:rPr>
        <w:t>parties</w:t>
      </w:r>
      <w:proofErr w:type="gramEnd"/>
      <w:r w:rsidR="008F0BDF" w:rsidRPr="00342C3E">
        <w:rPr>
          <w:sz w:val="24"/>
          <w:szCs w:val="24"/>
        </w:rPr>
        <w:t xml:space="preserve"> additional time to conduct </w:t>
      </w:r>
      <w:proofErr w:type="gramStart"/>
      <w:r w:rsidR="008F0BDF" w:rsidRPr="00342C3E">
        <w:rPr>
          <w:sz w:val="24"/>
          <w:szCs w:val="24"/>
        </w:rPr>
        <w:t>discovery</w:t>
      </w:r>
      <w:proofErr w:type="gramEnd"/>
      <w:r w:rsidR="008F0BDF">
        <w:rPr>
          <w:sz w:val="24"/>
          <w:szCs w:val="24"/>
        </w:rPr>
        <w:t xml:space="preserve">, </w:t>
      </w:r>
      <w:r w:rsidR="008F0BDF" w:rsidRPr="00342C3E">
        <w:rPr>
          <w:sz w:val="24"/>
          <w:szCs w:val="24"/>
        </w:rPr>
        <w:t>engage in settlement negotiations</w:t>
      </w:r>
      <w:r w:rsidR="008F0BDF">
        <w:rPr>
          <w:sz w:val="24"/>
          <w:szCs w:val="24"/>
        </w:rPr>
        <w:t>, and prepare their cases for hearing</w:t>
      </w:r>
      <w:r w:rsidR="008F0BDF" w:rsidRPr="00342C3E">
        <w:rPr>
          <w:sz w:val="24"/>
          <w:szCs w:val="24"/>
        </w:rPr>
        <w:t xml:space="preserve">.  </w:t>
      </w:r>
      <w:r w:rsidR="003D3B98" w:rsidRPr="003D3B98">
        <w:rPr>
          <w:rFonts w:eastAsia="Times New Roman" w:cs="Times New Roman"/>
          <w:sz w:val="24"/>
          <w:szCs w:val="24"/>
        </w:rPr>
        <w:t>Therefore</w:t>
      </w:r>
      <w:r w:rsidR="00EE4B43" w:rsidRPr="00EE4B43">
        <w:rPr>
          <w:rFonts w:eastAsia="Times New Roman" w:cs="Times New Roman"/>
          <w:sz w:val="24"/>
          <w:szCs w:val="24"/>
        </w:rPr>
        <w:t>,</w:t>
      </w:r>
    </w:p>
    <w:p w14:paraId="3E883CE4" w14:textId="610D02A7" w:rsidR="00746782" w:rsidRPr="00813974" w:rsidRDefault="00746782" w:rsidP="00813974">
      <w:pPr>
        <w:tabs>
          <w:tab w:val="left" w:pos="-120"/>
          <w:tab w:val="left" w:pos="360"/>
        </w:tabs>
        <w:rPr>
          <w:sz w:val="24"/>
          <w:szCs w:val="24"/>
        </w:rPr>
      </w:pPr>
      <w:r w:rsidRPr="00342C3E">
        <w:rPr>
          <w:sz w:val="24"/>
          <w:szCs w:val="24"/>
        </w:rPr>
        <w:lastRenderedPageBreak/>
        <w:t xml:space="preserve">IT IS ORDERED that </w:t>
      </w:r>
      <w:r w:rsidRPr="00552B9C">
        <w:rPr>
          <w:sz w:val="24"/>
          <w:szCs w:val="24"/>
        </w:rPr>
        <w:fldChar w:fldCharType="begin"/>
      </w:r>
      <w:r w:rsidRPr="00552B9C">
        <w:rPr>
          <w:sz w:val="24"/>
          <w:szCs w:val="24"/>
        </w:rPr>
        <w:instrText xml:space="preserve"> MERGEFIELD  "Petitioner or Respondent"  \* MERGEFORMAT </w:instrText>
      </w:r>
      <w:r w:rsidRPr="00552B9C">
        <w:rPr>
          <w:sz w:val="24"/>
          <w:szCs w:val="24"/>
        </w:rPr>
        <w:fldChar w:fldCharType="separate"/>
      </w:r>
      <w:r w:rsidRPr="00552B9C">
        <w:rPr>
          <w:sz w:val="24"/>
          <w:szCs w:val="24"/>
        </w:rPr>
        <w:t>Respondent</w:t>
      </w:r>
      <w:r w:rsidRPr="00552B9C">
        <w:rPr>
          <w:sz w:val="24"/>
          <w:szCs w:val="24"/>
        </w:rPr>
        <w:fldChar w:fldCharType="end"/>
      </w:r>
      <w:r>
        <w:rPr>
          <w:sz w:val="24"/>
          <w:szCs w:val="24"/>
        </w:rPr>
        <w:t>’s</w:t>
      </w:r>
      <w:r w:rsidRPr="00552B9C">
        <w:rPr>
          <w:sz w:val="24"/>
          <w:szCs w:val="24"/>
        </w:rPr>
        <w:t xml:space="preserve"> </w:t>
      </w:r>
      <w:r>
        <w:rPr>
          <w:sz w:val="24"/>
          <w:szCs w:val="24"/>
        </w:rPr>
        <w:t xml:space="preserve">Motion for Immediate Consideration is </w:t>
      </w:r>
      <w:r>
        <w:rPr>
          <w:sz w:val="24"/>
          <w:szCs w:val="24"/>
        </w:rPr>
        <w:fldChar w:fldCharType="begin"/>
      </w:r>
      <w:r>
        <w:rPr>
          <w:sz w:val="24"/>
          <w:szCs w:val="24"/>
        </w:rPr>
        <w:instrText xml:space="preserve"> MERGEFIELD  "GRANTED OR DENIED"  \* MERGEFORMAT </w:instrText>
      </w:r>
      <w:r>
        <w:rPr>
          <w:sz w:val="24"/>
          <w:szCs w:val="24"/>
        </w:rPr>
        <w:fldChar w:fldCharType="separate"/>
      </w:r>
      <w:r>
        <w:rPr>
          <w:noProof/>
          <w:sz w:val="24"/>
          <w:szCs w:val="24"/>
        </w:rPr>
        <w:t>GRANTED</w:t>
      </w:r>
      <w:r>
        <w:rPr>
          <w:sz w:val="24"/>
          <w:szCs w:val="24"/>
        </w:rPr>
        <w:fldChar w:fldCharType="end"/>
      </w:r>
      <w:r>
        <w:rPr>
          <w:sz w:val="24"/>
          <w:szCs w:val="24"/>
        </w:rPr>
        <w:t>.</w:t>
      </w:r>
    </w:p>
    <w:p w14:paraId="24914834" w14:textId="77777777" w:rsidR="00EE4B43" w:rsidRPr="00EE4B43" w:rsidRDefault="00EE4B43" w:rsidP="00EE4B43">
      <w:pPr>
        <w:widowControl w:val="0"/>
        <w:autoSpaceDE w:val="0"/>
        <w:autoSpaceDN w:val="0"/>
        <w:adjustRightInd w:val="0"/>
        <w:rPr>
          <w:rFonts w:eastAsia="Times New Roman" w:cs="Times New Roman"/>
          <w:sz w:val="24"/>
          <w:szCs w:val="24"/>
        </w:rPr>
      </w:pPr>
    </w:p>
    <w:p w14:paraId="748BB74C" w14:textId="3C909E05" w:rsidR="00EE4B43" w:rsidRDefault="00EE4B43" w:rsidP="00EE4B43">
      <w:pPr>
        <w:widowControl w:val="0"/>
        <w:autoSpaceDE w:val="0"/>
        <w:autoSpaceDN w:val="0"/>
        <w:adjustRightInd w:val="0"/>
        <w:rPr>
          <w:rFonts w:eastAsia="Times New Roman" w:cs="Times New Roman"/>
          <w:sz w:val="24"/>
          <w:szCs w:val="24"/>
        </w:rPr>
      </w:pPr>
      <w:r w:rsidRPr="00EE4B43">
        <w:rPr>
          <w:rFonts w:eastAsia="Times New Roman" w:cs="Times New Roman"/>
          <w:sz w:val="24"/>
          <w:szCs w:val="24"/>
        </w:rPr>
        <w:t xml:space="preserve">IT IS </w:t>
      </w:r>
      <w:r w:rsidR="00F57BB8">
        <w:rPr>
          <w:rFonts w:eastAsia="Times New Roman" w:cs="Times New Roman"/>
          <w:sz w:val="24"/>
          <w:szCs w:val="24"/>
        </w:rPr>
        <w:t xml:space="preserve">FURTHER </w:t>
      </w:r>
      <w:r w:rsidRPr="00EE4B43">
        <w:rPr>
          <w:rFonts w:eastAsia="Times New Roman" w:cs="Times New Roman"/>
          <w:sz w:val="24"/>
          <w:szCs w:val="24"/>
        </w:rPr>
        <w:t xml:space="preserve">ORDERED that </w:t>
      </w:r>
      <w:r w:rsidRPr="00EE4B43">
        <w:rPr>
          <w:rFonts w:eastAsia="Times New Roman" w:cs="Times New Roman"/>
          <w:sz w:val="24"/>
          <w:szCs w:val="24"/>
        </w:rPr>
        <w:fldChar w:fldCharType="begin"/>
      </w:r>
      <w:r w:rsidRPr="00EE4B43">
        <w:rPr>
          <w:rFonts w:eastAsia="Times New Roman" w:cs="Times New Roman"/>
          <w:sz w:val="24"/>
          <w:szCs w:val="24"/>
        </w:rPr>
        <w:instrText xml:space="preserve"> MERGEFIELD  "Petitioner or Respondent"  \* MERGEFORMAT </w:instrText>
      </w:r>
      <w:r w:rsidRPr="00EE4B43">
        <w:rPr>
          <w:rFonts w:eastAsia="Times New Roman" w:cs="Times New Roman"/>
          <w:sz w:val="24"/>
          <w:szCs w:val="24"/>
        </w:rPr>
        <w:fldChar w:fldCharType="separate"/>
      </w:r>
      <w:r w:rsidRPr="00EE4B43">
        <w:rPr>
          <w:rFonts w:eastAsia="Times New Roman" w:cs="Times New Roman"/>
          <w:noProof/>
          <w:sz w:val="24"/>
          <w:szCs w:val="24"/>
        </w:rPr>
        <w:t>Respondent</w:t>
      </w:r>
      <w:r w:rsidRPr="00EE4B43">
        <w:rPr>
          <w:rFonts w:eastAsia="Times New Roman" w:cs="Times New Roman"/>
          <w:sz w:val="24"/>
          <w:szCs w:val="24"/>
        </w:rPr>
        <w:fldChar w:fldCharType="end"/>
      </w:r>
      <w:r w:rsidRPr="00EE4B43">
        <w:rPr>
          <w:rFonts w:eastAsia="Times New Roman" w:cs="Times New Roman"/>
          <w:sz w:val="24"/>
          <w:szCs w:val="24"/>
        </w:rPr>
        <w:t xml:space="preserve">’s Motion to Compel is </w:t>
      </w:r>
      <w:r w:rsidR="00C825CA">
        <w:rPr>
          <w:rFonts w:eastAsia="Times New Roman" w:cs="Times New Roman"/>
          <w:sz w:val="24"/>
          <w:szCs w:val="24"/>
        </w:rPr>
        <w:t>placed in ABEYANCE</w:t>
      </w:r>
      <w:r w:rsidRPr="00EE4B43">
        <w:rPr>
          <w:rFonts w:eastAsia="Times New Roman" w:cs="Times New Roman"/>
          <w:sz w:val="24"/>
          <w:szCs w:val="24"/>
        </w:rPr>
        <w:t>.</w:t>
      </w:r>
    </w:p>
    <w:p w14:paraId="29EEC98D" w14:textId="77777777" w:rsidR="000A60FF" w:rsidRDefault="000A60FF" w:rsidP="00EE4B43">
      <w:pPr>
        <w:widowControl w:val="0"/>
        <w:autoSpaceDE w:val="0"/>
        <w:autoSpaceDN w:val="0"/>
        <w:adjustRightInd w:val="0"/>
        <w:rPr>
          <w:rFonts w:eastAsia="Times New Roman" w:cs="Times New Roman"/>
          <w:sz w:val="24"/>
          <w:szCs w:val="24"/>
        </w:rPr>
      </w:pPr>
    </w:p>
    <w:p w14:paraId="2E5F666C" w14:textId="4B796EF6" w:rsidR="00B2475D" w:rsidRPr="008A040D" w:rsidRDefault="00B2475D" w:rsidP="00B2475D">
      <w:pPr>
        <w:rPr>
          <w:rFonts w:cs="Arial"/>
        </w:rPr>
      </w:pPr>
      <w:r w:rsidRPr="00B836FD">
        <w:rPr>
          <w:sz w:val="24"/>
          <w:szCs w:val="24"/>
        </w:rPr>
        <w:t xml:space="preserve">IT IS FURTHER ORDERED that Petitioner’s representative shall appear in person on </w:t>
      </w:r>
      <w:r w:rsidRPr="00B2475D">
        <w:rPr>
          <w:b/>
          <w:bCs/>
          <w:sz w:val="24"/>
          <w:szCs w:val="24"/>
        </w:rPr>
        <w:t>July 17, 2026</w:t>
      </w:r>
      <w:r>
        <w:rPr>
          <w:sz w:val="24"/>
          <w:szCs w:val="24"/>
        </w:rPr>
        <w:t xml:space="preserve">, </w:t>
      </w:r>
      <w:r w:rsidRPr="00B836FD">
        <w:rPr>
          <w:sz w:val="24"/>
          <w:szCs w:val="24"/>
        </w:rPr>
        <w:t>at 9:00 a</w:t>
      </w:r>
      <w:r>
        <w:rPr>
          <w:sz w:val="24"/>
          <w:szCs w:val="24"/>
        </w:rPr>
        <w:t>.</w:t>
      </w:r>
      <w:r w:rsidRPr="00B836FD">
        <w:rPr>
          <w:sz w:val="24"/>
          <w:szCs w:val="24"/>
        </w:rPr>
        <w:t>m</w:t>
      </w:r>
      <w:r>
        <w:rPr>
          <w:sz w:val="24"/>
          <w:szCs w:val="24"/>
        </w:rPr>
        <w:t>.,</w:t>
      </w:r>
      <w:r w:rsidRPr="00B836FD">
        <w:rPr>
          <w:sz w:val="24"/>
          <w:szCs w:val="24"/>
        </w:rPr>
        <w:t xml:space="preserve"> for examination before the Tribunal to address Respondent’s discovery requests as indicated herein.</w:t>
      </w:r>
      <w:r>
        <w:rPr>
          <w:sz w:val="24"/>
          <w:szCs w:val="24"/>
        </w:rPr>
        <w:t xml:space="preserve">  The hearing will be held at </w:t>
      </w:r>
      <w:r w:rsidRPr="008A040D">
        <w:rPr>
          <w:rStyle w:val="shortdesc1"/>
          <w:rFonts w:cs="Arial"/>
          <w:sz w:val="24"/>
          <w:szCs w:val="24"/>
        </w:rPr>
        <w:t>611 W. Ottawa, 2</w:t>
      </w:r>
      <w:r w:rsidRPr="008A040D">
        <w:rPr>
          <w:rStyle w:val="shortdesc1"/>
          <w:rFonts w:cs="Arial"/>
          <w:sz w:val="24"/>
          <w:szCs w:val="24"/>
          <w:vertAlign w:val="superscript"/>
        </w:rPr>
        <w:t>nd</w:t>
      </w:r>
      <w:r w:rsidRPr="008A040D">
        <w:rPr>
          <w:rStyle w:val="shortdesc1"/>
          <w:rFonts w:cs="Arial"/>
          <w:sz w:val="24"/>
          <w:szCs w:val="24"/>
        </w:rPr>
        <w:t xml:space="preserve"> Floor, Lansing, Michigan 48933</w:t>
      </w:r>
      <w:r w:rsidRPr="008A040D">
        <w:rPr>
          <w:rFonts w:cs="Arial"/>
        </w:rPr>
        <w:t>.</w:t>
      </w:r>
    </w:p>
    <w:p w14:paraId="5D928873" w14:textId="1CE8FFFF" w:rsidR="00B2475D" w:rsidRDefault="00B2475D" w:rsidP="00B2475D">
      <w:pPr>
        <w:widowControl w:val="0"/>
        <w:autoSpaceDE w:val="0"/>
        <w:autoSpaceDN w:val="0"/>
        <w:adjustRightInd w:val="0"/>
        <w:rPr>
          <w:sz w:val="24"/>
          <w:szCs w:val="24"/>
        </w:rPr>
      </w:pPr>
    </w:p>
    <w:p w14:paraId="2F08DD4E" w14:textId="3D51A6D0" w:rsidR="000A60FF" w:rsidRDefault="000A60FF" w:rsidP="00EE4B43">
      <w:pPr>
        <w:widowControl w:val="0"/>
        <w:autoSpaceDE w:val="0"/>
        <w:autoSpaceDN w:val="0"/>
        <w:adjustRightInd w:val="0"/>
        <w:rPr>
          <w:sz w:val="24"/>
          <w:szCs w:val="24"/>
        </w:rPr>
      </w:pPr>
      <w:r w:rsidRPr="00B836FD">
        <w:rPr>
          <w:sz w:val="24"/>
          <w:szCs w:val="24"/>
        </w:rPr>
        <w:t xml:space="preserve">IT IS FURTHER ORDERED that Petitioner shall notify the Tribunal of </w:t>
      </w:r>
      <w:r>
        <w:rPr>
          <w:sz w:val="24"/>
          <w:szCs w:val="24"/>
        </w:rPr>
        <w:t>the</w:t>
      </w:r>
      <w:r w:rsidR="00C16D29">
        <w:rPr>
          <w:sz w:val="24"/>
          <w:szCs w:val="24"/>
        </w:rPr>
        <w:t xml:space="preserve"> name of the</w:t>
      </w:r>
      <w:r>
        <w:rPr>
          <w:sz w:val="24"/>
          <w:szCs w:val="24"/>
        </w:rPr>
        <w:t xml:space="preserve"> individual that prepared </w:t>
      </w:r>
      <w:r w:rsidR="00EA40B9">
        <w:rPr>
          <w:sz w:val="24"/>
          <w:szCs w:val="24"/>
        </w:rPr>
        <w:t xml:space="preserve">the </w:t>
      </w:r>
      <w:r w:rsidR="004E2AD5">
        <w:rPr>
          <w:sz w:val="24"/>
          <w:szCs w:val="24"/>
        </w:rPr>
        <w:t>answers to</w:t>
      </w:r>
      <w:r w:rsidR="00EA40B9">
        <w:rPr>
          <w:sz w:val="24"/>
          <w:szCs w:val="24"/>
        </w:rPr>
        <w:t xml:space="preserve">, or was consulted about, </w:t>
      </w:r>
      <w:r w:rsidR="004E2AD5">
        <w:rPr>
          <w:sz w:val="24"/>
          <w:szCs w:val="24"/>
        </w:rPr>
        <w:t xml:space="preserve">Respondent’s discovery requests </w:t>
      </w:r>
      <w:r w:rsidRPr="00B836FD">
        <w:rPr>
          <w:sz w:val="24"/>
          <w:szCs w:val="24"/>
        </w:rPr>
        <w:t xml:space="preserve">by </w:t>
      </w:r>
      <w:r w:rsidR="00B2475D" w:rsidRPr="00B2475D">
        <w:rPr>
          <w:b/>
          <w:bCs/>
          <w:sz w:val="24"/>
          <w:szCs w:val="24"/>
        </w:rPr>
        <w:t>July 2, 2026</w:t>
      </w:r>
      <w:r w:rsidRPr="00B836FD">
        <w:rPr>
          <w:sz w:val="24"/>
          <w:szCs w:val="24"/>
        </w:rPr>
        <w:t>.</w:t>
      </w:r>
    </w:p>
    <w:p w14:paraId="5A49B1AF" w14:textId="77777777" w:rsidR="00C16D29" w:rsidRDefault="00C16D29" w:rsidP="00EE4B43">
      <w:pPr>
        <w:widowControl w:val="0"/>
        <w:autoSpaceDE w:val="0"/>
        <w:autoSpaceDN w:val="0"/>
        <w:adjustRightInd w:val="0"/>
        <w:rPr>
          <w:sz w:val="24"/>
          <w:szCs w:val="24"/>
        </w:rPr>
      </w:pPr>
    </w:p>
    <w:p w14:paraId="6B38CB6C" w14:textId="76CA888C" w:rsidR="00C16D29" w:rsidRPr="00B836FD" w:rsidRDefault="00C16D29" w:rsidP="00C16D29">
      <w:pPr>
        <w:widowControl w:val="0"/>
        <w:autoSpaceDE w:val="0"/>
        <w:autoSpaceDN w:val="0"/>
        <w:adjustRightInd w:val="0"/>
        <w:rPr>
          <w:rFonts w:eastAsia="Times New Roman" w:cs="Times New Roman"/>
          <w:sz w:val="24"/>
          <w:szCs w:val="24"/>
        </w:rPr>
      </w:pPr>
      <w:r w:rsidRPr="00B836FD">
        <w:rPr>
          <w:sz w:val="24"/>
          <w:szCs w:val="24"/>
        </w:rPr>
        <w:t xml:space="preserve">IT IS FURTHER ORDERED that Petitioner shall notify the Tribunal of a court reporter by </w:t>
      </w:r>
      <w:r w:rsidR="00B2475D" w:rsidRPr="00B2475D">
        <w:rPr>
          <w:b/>
          <w:bCs/>
          <w:sz w:val="24"/>
          <w:szCs w:val="24"/>
        </w:rPr>
        <w:t>July 2, 2026</w:t>
      </w:r>
      <w:r w:rsidRPr="00B836FD">
        <w:rPr>
          <w:sz w:val="24"/>
          <w:szCs w:val="24"/>
        </w:rPr>
        <w:t xml:space="preserve">. </w:t>
      </w:r>
      <w:r w:rsidR="00B2475D">
        <w:rPr>
          <w:sz w:val="24"/>
          <w:szCs w:val="24"/>
        </w:rPr>
        <w:t xml:space="preserve"> </w:t>
      </w:r>
      <w:r w:rsidRPr="00B836FD">
        <w:rPr>
          <w:sz w:val="24"/>
          <w:szCs w:val="24"/>
        </w:rPr>
        <w:t>The cost of the court reporter shall be split evenly between the parties.</w:t>
      </w:r>
    </w:p>
    <w:p w14:paraId="6C5277DF" w14:textId="77777777" w:rsidR="00B836FD" w:rsidRPr="00B836FD" w:rsidRDefault="00B836FD" w:rsidP="00EE4B43">
      <w:pPr>
        <w:widowControl w:val="0"/>
        <w:autoSpaceDE w:val="0"/>
        <w:autoSpaceDN w:val="0"/>
        <w:adjustRightInd w:val="0"/>
        <w:rPr>
          <w:sz w:val="24"/>
          <w:szCs w:val="24"/>
        </w:rPr>
      </w:pPr>
    </w:p>
    <w:p w14:paraId="46D9FB95" w14:textId="73979004" w:rsidR="002B3AE8" w:rsidRPr="00342C3E" w:rsidRDefault="002B3AE8" w:rsidP="002B3AE8">
      <w:pPr>
        <w:tabs>
          <w:tab w:val="left" w:pos="-120"/>
          <w:tab w:val="left" w:pos="360"/>
        </w:tabs>
        <w:rPr>
          <w:sz w:val="24"/>
          <w:szCs w:val="24"/>
        </w:rPr>
      </w:pPr>
      <w:r w:rsidRPr="00342C3E">
        <w:rPr>
          <w:sz w:val="24"/>
          <w:szCs w:val="24"/>
        </w:rPr>
        <w:t xml:space="preserve">IT IS </w:t>
      </w:r>
      <w:r w:rsidRPr="002B3AE8">
        <w:rPr>
          <w:sz w:val="24"/>
          <w:szCs w:val="24"/>
        </w:rPr>
        <w:t xml:space="preserve">FURTHER </w:t>
      </w:r>
      <w:r w:rsidRPr="00342C3E">
        <w:rPr>
          <w:sz w:val="24"/>
          <w:szCs w:val="24"/>
        </w:rPr>
        <w:t xml:space="preserve">ORDERED </w:t>
      </w:r>
      <w:proofErr w:type="gramStart"/>
      <w:r>
        <w:rPr>
          <w:sz w:val="24"/>
          <w:szCs w:val="24"/>
        </w:rPr>
        <w:t>that</w:t>
      </w:r>
      <w:proofErr w:type="gramEnd"/>
      <w:r>
        <w:rPr>
          <w:sz w:val="24"/>
          <w:szCs w:val="24"/>
        </w:rPr>
        <w:t xml:space="preserve"> the </w:t>
      </w:r>
      <w:r w:rsidR="00E54590">
        <w:rPr>
          <w:sz w:val="24"/>
          <w:szCs w:val="24"/>
        </w:rPr>
        <w:t>Respondent’s</w:t>
      </w:r>
      <w:r w:rsidRPr="00342C3E">
        <w:rPr>
          <w:sz w:val="24"/>
          <w:szCs w:val="24"/>
        </w:rPr>
        <w:t xml:space="preserve"> Motion to Extend is GRANTED.</w:t>
      </w:r>
    </w:p>
    <w:p w14:paraId="33955FBE" w14:textId="77777777" w:rsidR="002B3AE8" w:rsidRPr="00342C3E" w:rsidRDefault="002B3AE8" w:rsidP="002B3AE8">
      <w:pPr>
        <w:tabs>
          <w:tab w:val="left" w:pos="-120"/>
          <w:tab w:val="left" w:pos="360"/>
        </w:tabs>
        <w:rPr>
          <w:sz w:val="24"/>
          <w:szCs w:val="24"/>
        </w:rPr>
      </w:pPr>
    </w:p>
    <w:p w14:paraId="0486C2FC" w14:textId="069FF4AF" w:rsidR="002B3AE8" w:rsidRPr="00342C3E" w:rsidRDefault="002B3AE8" w:rsidP="002B3AE8">
      <w:pPr>
        <w:tabs>
          <w:tab w:val="left" w:pos="-120"/>
          <w:tab w:val="left" w:pos="360"/>
        </w:tabs>
        <w:rPr>
          <w:sz w:val="24"/>
          <w:szCs w:val="24"/>
        </w:rPr>
      </w:pPr>
      <w:r w:rsidRPr="00342C3E">
        <w:rPr>
          <w:sz w:val="24"/>
          <w:szCs w:val="24"/>
        </w:rPr>
        <w:t xml:space="preserve">IT IS FURTHER ORDERED that this case is REMOVED from </w:t>
      </w:r>
      <w:proofErr w:type="gramStart"/>
      <w:r w:rsidRPr="00342C3E">
        <w:rPr>
          <w:sz w:val="24"/>
          <w:szCs w:val="24"/>
        </w:rPr>
        <w:t xml:space="preserve">the </w:t>
      </w:r>
      <w:r w:rsidR="00066656">
        <w:rPr>
          <w:rFonts w:cs="Arial"/>
          <w:sz w:val="24"/>
          <w:szCs w:val="24"/>
        </w:rPr>
        <w:t>October</w:t>
      </w:r>
      <w:proofErr w:type="gramEnd"/>
      <w:r w:rsidR="00066656">
        <w:rPr>
          <w:rFonts w:cs="Arial"/>
          <w:sz w:val="24"/>
          <w:szCs w:val="24"/>
        </w:rPr>
        <w:t xml:space="preserve"> 1-15, </w:t>
      </w:r>
      <w:proofErr w:type="gramStart"/>
      <w:r w:rsidR="00066656">
        <w:rPr>
          <w:rFonts w:cs="Arial"/>
          <w:sz w:val="24"/>
          <w:szCs w:val="24"/>
        </w:rPr>
        <w:t>2026</w:t>
      </w:r>
      <w:proofErr w:type="gramEnd"/>
      <w:r>
        <w:rPr>
          <w:rFonts w:cs="Arial"/>
          <w:sz w:val="24"/>
          <w:szCs w:val="24"/>
        </w:rPr>
        <w:t xml:space="preserve"> </w:t>
      </w:r>
      <w:r w:rsidRPr="00342C3E">
        <w:rPr>
          <w:sz w:val="24"/>
          <w:szCs w:val="24"/>
        </w:rPr>
        <w:t>Prehearing General Call.</w:t>
      </w:r>
    </w:p>
    <w:p w14:paraId="40F2F18C" w14:textId="77777777" w:rsidR="002B3AE8" w:rsidRPr="00342C3E" w:rsidRDefault="002B3AE8" w:rsidP="002B3AE8">
      <w:pPr>
        <w:tabs>
          <w:tab w:val="left" w:pos="-120"/>
          <w:tab w:val="left" w:pos="360"/>
        </w:tabs>
        <w:rPr>
          <w:sz w:val="24"/>
          <w:szCs w:val="24"/>
        </w:rPr>
      </w:pPr>
    </w:p>
    <w:p w14:paraId="432963F2" w14:textId="6A73C0D5" w:rsidR="002B3AE8" w:rsidRDefault="002B3AE8" w:rsidP="002B3AE8">
      <w:pPr>
        <w:tabs>
          <w:tab w:val="left" w:pos="-120"/>
          <w:tab w:val="left" w:pos="360"/>
        </w:tabs>
        <w:rPr>
          <w:sz w:val="24"/>
          <w:szCs w:val="24"/>
        </w:rPr>
      </w:pPr>
      <w:r w:rsidRPr="00342C3E">
        <w:rPr>
          <w:sz w:val="24"/>
          <w:szCs w:val="24"/>
        </w:rPr>
        <w:t xml:space="preserve">IT IS FURTHER ORDERED that this case is PLACED on </w:t>
      </w:r>
      <w:proofErr w:type="gramStart"/>
      <w:r w:rsidRPr="00342C3E">
        <w:rPr>
          <w:sz w:val="24"/>
          <w:szCs w:val="24"/>
        </w:rPr>
        <w:t xml:space="preserve">the </w:t>
      </w:r>
      <w:r w:rsidR="00B2475D" w:rsidRPr="00300FF4">
        <w:rPr>
          <w:rFonts w:cs="Arial"/>
          <w:sz w:val="24"/>
          <w:szCs w:val="24"/>
        </w:rPr>
        <w:t>February</w:t>
      </w:r>
      <w:proofErr w:type="gramEnd"/>
      <w:r w:rsidR="00B2475D" w:rsidRPr="00300FF4">
        <w:rPr>
          <w:rFonts w:cs="Arial"/>
          <w:sz w:val="24"/>
          <w:szCs w:val="24"/>
        </w:rPr>
        <w:t xml:space="preserve"> 16-26</w:t>
      </w:r>
      <w:r w:rsidR="00274B8A" w:rsidRPr="00300FF4">
        <w:rPr>
          <w:rFonts w:cs="Arial"/>
          <w:sz w:val="24"/>
          <w:szCs w:val="24"/>
        </w:rPr>
        <w:t xml:space="preserve">, </w:t>
      </w:r>
      <w:proofErr w:type="gramStart"/>
      <w:r w:rsidR="00274B8A" w:rsidRPr="00300FF4">
        <w:rPr>
          <w:rFonts w:cs="Arial"/>
          <w:sz w:val="24"/>
          <w:szCs w:val="24"/>
        </w:rPr>
        <w:t>2027</w:t>
      </w:r>
      <w:proofErr w:type="gramEnd"/>
      <w:r>
        <w:rPr>
          <w:rFonts w:cs="Arial"/>
          <w:sz w:val="24"/>
          <w:szCs w:val="24"/>
        </w:rPr>
        <w:t xml:space="preserve"> </w:t>
      </w:r>
      <w:r w:rsidRPr="00342C3E">
        <w:rPr>
          <w:sz w:val="24"/>
          <w:szCs w:val="24"/>
        </w:rPr>
        <w:t>Prehearing General Call.</w:t>
      </w:r>
    </w:p>
    <w:p w14:paraId="25EC1DD2" w14:textId="77777777" w:rsidR="002B3AE8" w:rsidRPr="00342C3E" w:rsidRDefault="002B3AE8" w:rsidP="002B3AE8">
      <w:pPr>
        <w:tabs>
          <w:tab w:val="left" w:pos="-120"/>
          <w:tab w:val="left" w:pos="360"/>
        </w:tabs>
        <w:rPr>
          <w:sz w:val="24"/>
          <w:szCs w:val="24"/>
        </w:rPr>
      </w:pPr>
    </w:p>
    <w:p w14:paraId="6E40D222" w14:textId="20FEC646" w:rsidR="002B3AE8" w:rsidRPr="00342C3E" w:rsidRDefault="002B3AE8" w:rsidP="002B3AE8">
      <w:pPr>
        <w:rPr>
          <w:sz w:val="24"/>
          <w:szCs w:val="24"/>
        </w:rPr>
      </w:pPr>
      <w:r w:rsidRPr="00342C3E">
        <w:rPr>
          <w:sz w:val="24"/>
          <w:szCs w:val="24"/>
        </w:rPr>
        <w:t xml:space="preserve">IT IS FURTHER ORDERED that the parties shall file and exchange their valuation disclosures by </w:t>
      </w:r>
      <w:r w:rsidR="00B2475D" w:rsidRPr="00E61A11">
        <w:rPr>
          <w:rFonts w:cs="Arial"/>
          <w:b/>
          <w:bCs/>
          <w:sz w:val="24"/>
          <w:szCs w:val="24"/>
        </w:rPr>
        <w:t>October 20</w:t>
      </w:r>
      <w:r w:rsidR="00274B8A" w:rsidRPr="00E61A11">
        <w:rPr>
          <w:rFonts w:cs="Arial"/>
          <w:b/>
          <w:bCs/>
          <w:sz w:val="24"/>
          <w:szCs w:val="24"/>
        </w:rPr>
        <w:t>, 2026</w:t>
      </w:r>
      <w:r>
        <w:rPr>
          <w:rFonts w:cs="Arial"/>
          <w:sz w:val="24"/>
          <w:szCs w:val="24"/>
        </w:rPr>
        <w:t xml:space="preserve">.  </w:t>
      </w:r>
      <w:r w:rsidRPr="00342C3E">
        <w:rPr>
          <w:sz w:val="24"/>
          <w:szCs w:val="24"/>
        </w:rPr>
        <w:t xml:space="preserve">Valuation disclosures will not be admitted into evidence unless disclosed and furnished in accordance with this </w:t>
      </w:r>
      <w:r>
        <w:rPr>
          <w:sz w:val="24"/>
          <w:szCs w:val="24"/>
        </w:rPr>
        <w:t>o</w:t>
      </w:r>
      <w:r w:rsidRPr="00342C3E">
        <w:rPr>
          <w:sz w:val="24"/>
          <w:szCs w:val="24"/>
        </w:rPr>
        <w:t xml:space="preserve">rder (even though admissible) except upon </w:t>
      </w:r>
      <w:proofErr w:type="gramStart"/>
      <w:r w:rsidRPr="00342C3E">
        <w:rPr>
          <w:sz w:val="24"/>
          <w:szCs w:val="24"/>
        </w:rPr>
        <w:t>a finding</w:t>
      </w:r>
      <w:proofErr w:type="gramEnd"/>
      <w:r w:rsidRPr="00342C3E">
        <w:rPr>
          <w:sz w:val="24"/>
          <w:szCs w:val="24"/>
        </w:rPr>
        <w:t xml:space="preserve"> of good cause by the Tribunal.  </w:t>
      </w:r>
    </w:p>
    <w:p w14:paraId="47CA622E" w14:textId="77777777" w:rsidR="002B3AE8" w:rsidRPr="00342C3E" w:rsidRDefault="002B3AE8" w:rsidP="002B3AE8">
      <w:pPr>
        <w:rPr>
          <w:sz w:val="24"/>
          <w:szCs w:val="24"/>
        </w:rPr>
      </w:pPr>
    </w:p>
    <w:p w14:paraId="3A25540E" w14:textId="12C8123B" w:rsidR="002B3AE8" w:rsidRPr="006F61A7" w:rsidRDefault="002B3AE8" w:rsidP="002B3AE8">
      <w:pPr>
        <w:rPr>
          <w:sz w:val="24"/>
          <w:szCs w:val="24"/>
        </w:rPr>
      </w:pPr>
      <w:r w:rsidRPr="006F61A7">
        <w:rPr>
          <w:sz w:val="24"/>
          <w:szCs w:val="24"/>
        </w:rPr>
        <w:t xml:space="preserve">IT IS FURTHER ORDERED that the </w:t>
      </w:r>
      <w:proofErr w:type="gramStart"/>
      <w:r w:rsidRPr="006F61A7">
        <w:rPr>
          <w:sz w:val="24"/>
          <w:szCs w:val="24"/>
        </w:rPr>
        <w:t>parties shall</w:t>
      </w:r>
      <w:proofErr w:type="gramEnd"/>
      <w:r w:rsidRPr="006F61A7">
        <w:rPr>
          <w:sz w:val="24"/>
          <w:szCs w:val="24"/>
        </w:rPr>
        <w:t xml:space="preserve"> file and exchange their Prehearing Statements by </w:t>
      </w:r>
      <w:r w:rsidR="00B2475D" w:rsidRPr="00E61A11">
        <w:rPr>
          <w:b/>
          <w:bCs/>
          <w:noProof/>
          <w:sz w:val="24"/>
          <w:szCs w:val="24"/>
        </w:rPr>
        <w:t>October 20</w:t>
      </w:r>
      <w:r w:rsidR="00274B8A" w:rsidRPr="00E61A11">
        <w:rPr>
          <w:b/>
          <w:bCs/>
          <w:noProof/>
          <w:sz w:val="24"/>
          <w:szCs w:val="24"/>
        </w:rPr>
        <w:t>, 2026</w:t>
      </w:r>
      <w:r w:rsidRPr="006F61A7">
        <w:rPr>
          <w:sz w:val="24"/>
          <w:szCs w:val="24"/>
        </w:rPr>
        <w:t xml:space="preserve">.  Witnesses, </w:t>
      </w:r>
      <w:proofErr w:type="gramStart"/>
      <w:r w:rsidRPr="006F61A7">
        <w:rPr>
          <w:sz w:val="24"/>
          <w:szCs w:val="24"/>
        </w:rPr>
        <w:t>with the exception of</w:t>
      </w:r>
      <w:proofErr w:type="gramEnd"/>
      <w:r w:rsidRPr="006F61A7">
        <w:rPr>
          <w:sz w:val="24"/>
          <w:szCs w:val="24"/>
        </w:rPr>
        <w:t xml:space="preserve"> rebuttal witnesses, will not be allowed to testify </w:t>
      </w:r>
      <w:r w:rsidRPr="006F61A7">
        <w:rPr>
          <w:bCs/>
          <w:iCs/>
          <w:sz w:val="24"/>
          <w:szCs w:val="24"/>
        </w:rPr>
        <w:t>unless</w:t>
      </w:r>
      <w:r w:rsidRPr="006F61A7">
        <w:rPr>
          <w:sz w:val="24"/>
          <w:szCs w:val="24"/>
        </w:rPr>
        <w:t xml:space="preserve"> disclosed in the Prehearing Statement and the Prehearing Statement is furnished in accordance with this order </w:t>
      </w:r>
      <w:r w:rsidRPr="006F61A7">
        <w:rPr>
          <w:bCs/>
          <w:iCs/>
          <w:sz w:val="24"/>
          <w:szCs w:val="24"/>
        </w:rPr>
        <w:t>except</w:t>
      </w:r>
      <w:r w:rsidRPr="006F61A7">
        <w:rPr>
          <w:sz w:val="24"/>
          <w:szCs w:val="24"/>
        </w:rPr>
        <w:t xml:space="preserve"> upon </w:t>
      </w:r>
      <w:proofErr w:type="gramStart"/>
      <w:r w:rsidRPr="006F61A7">
        <w:rPr>
          <w:sz w:val="24"/>
          <w:szCs w:val="24"/>
        </w:rPr>
        <w:t>a finding</w:t>
      </w:r>
      <w:proofErr w:type="gramEnd"/>
      <w:r w:rsidRPr="006F61A7">
        <w:rPr>
          <w:sz w:val="24"/>
          <w:szCs w:val="24"/>
        </w:rPr>
        <w:t xml:space="preserve"> of good cause by the Tribunal.  Failure to file the Prehearing Statement may result in holding a party or parties in default.  See TTR 237. </w:t>
      </w:r>
    </w:p>
    <w:p w14:paraId="451672A7" w14:textId="77777777" w:rsidR="002B3AE8" w:rsidRPr="006F61A7" w:rsidRDefault="002B3AE8" w:rsidP="002B3AE8">
      <w:pPr>
        <w:rPr>
          <w:sz w:val="24"/>
          <w:szCs w:val="24"/>
        </w:rPr>
      </w:pPr>
    </w:p>
    <w:p w14:paraId="09395B25" w14:textId="53458300" w:rsidR="002B3AE8" w:rsidRPr="006F61A7" w:rsidRDefault="002B3AE8" w:rsidP="002B3AE8">
      <w:pPr>
        <w:rPr>
          <w:sz w:val="24"/>
          <w:szCs w:val="24"/>
        </w:rPr>
      </w:pPr>
      <w:r w:rsidRPr="006F61A7">
        <w:rPr>
          <w:sz w:val="24"/>
          <w:szCs w:val="24"/>
        </w:rPr>
        <w:t xml:space="preserve">IT IS FURTHER ORDERED that “Pre-Valuation Disclosure” discovery is CLOSED on </w:t>
      </w:r>
      <w:r w:rsidR="00B2475D" w:rsidRPr="00E61A11">
        <w:rPr>
          <w:b/>
          <w:bCs/>
          <w:noProof/>
          <w:sz w:val="24"/>
          <w:szCs w:val="24"/>
        </w:rPr>
        <w:t>October 20</w:t>
      </w:r>
      <w:r w:rsidR="00274B8A" w:rsidRPr="00E61A11">
        <w:rPr>
          <w:b/>
          <w:bCs/>
          <w:noProof/>
          <w:sz w:val="24"/>
          <w:szCs w:val="24"/>
        </w:rPr>
        <w:t>, 2026</w:t>
      </w:r>
      <w:r w:rsidRPr="006F61A7">
        <w:rPr>
          <w:sz w:val="24"/>
          <w:szCs w:val="24"/>
        </w:rPr>
        <w:t>, which means all discovery has been requested, all Motions to Compel have been filed, and all requested or ordered discovery has been exchanged by that date.  Discovery relative to the valuation disclosure prepared for purposes of litigating this case or the valuation expert that prepared that valuation disclosure is not permitted during “Pre-Valuation Disclosure” discovery.</w:t>
      </w:r>
    </w:p>
    <w:p w14:paraId="786A522F" w14:textId="77777777" w:rsidR="002B3AE8" w:rsidRPr="006F61A7" w:rsidRDefault="002B3AE8" w:rsidP="002B3AE8">
      <w:pPr>
        <w:rPr>
          <w:sz w:val="24"/>
          <w:szCs w:val="24"/>
        </w:rPr>
      </w:pPr>
    </w:p>
    <w:p w14:paraId="21DFDAAC" w14:textId="2013AAE2" w:rsidR="002B3AE8" w:rsidRPr="006F61A7" w:rsidRDefault="002B3AE8" w:rsidP="002B3AE8">
      <w:pPr>
        <w:rPr>
          <w:sz w:val="24"/>
          <w:szCs w:val="24"/>
        </w:rPr>
      </w:pPr>
      <w:r w:rsidRPr="006F61A7">
        <w:rPr>
          <w:sz w:val="24"/>
          <w:szCs w:val="24"/>
        </w:rPr>
        <w:t xml:space="preserve">IT IS FURTHER ORDERED that “Post-Valuation Disclosure” discovery is CLOSED on </w:t>
      </w:r>
      <w:r w:rsidR="00B2475D" w:rsidRPr="00E61A11">
        <w:rPr>
          <w:b/>
          <w:bCs/>
          <w:noProof/>
          <w:sz w:val="24"/>
          <w:szCs w:val="24"/>
        </w:rPr>
        <w:t>February 16</w:t>
      </w:r>
      <w:r w:rsidR="000D6820" w:rsidRPr="00E61A11">
        <w:rPr>
          <w:b/>
          <w:bCs/>
          <w:noProof/>
          <w:sz w:val="24"/>
          <w:szCs w:val="24"/>
        </w:rPr>
        <w:t>, 2027</w:t>
      </w:r>
      <w:r w:rsidRPr="006F61A7">
        <w:rPr>
          <w:sz w:val="24"/>
          <w:szCs w:val="24"/>
        </w:rPr>
        <w:t xml:space="preserve">, which means all discovery has been requested, all Motions to </w:t>
      </w:r>
      <w:r w:rsidRPr="006F61A7">
        <w:rPr>
          <w:sz w:val="24"/>
          <w:szCs w:val="24"/>
        </w:rPr>
        <w:lastRenderedPageBreak/>
        <w:t>Compel have been filed, and all requested or ordered discovery has been exchanged by that date.  “Post-Valuation Disclosure” discovery is limited to the opposing party’s valuation disclosure, the opposing party’s valuation expert, and the witnesses identified on the opposing party’s Prehearing Statement.</w:t>
      </w:r>
    </w:p>
    <w:p w14:paraId="23D4CD3B" w14:textId="77777777" w:rsidR="002B3AE8" w:rsidRPr="00342C3E" w:rsidRDefault="002B3AE8" w:rsidP="002B3AE8">
      <w:pPr>
        <w:rPr>
          <w:sz w:val="24"/>
          <w:szCs w:val="24"/>
        </w:rPr>
      </w:pPr>
    </w:p>
    <w:p w14:paraId="482D58FD" w14:textId="37CBA921" w:rsidR="003A3C48" w:rsidRDefault="002B3AE8" w:rsidP="003A3C48">
      <w:pPr>
        <w:rPr>
          <w:sz w:val="24"/>
          <w:szCs w:val="24"/>
        </w:rPr>
      </w:pPr>
      <w:r w:rsidRPr="00342C3E">
        <w:rPr>
          <w:sz w:val="24"/>
          <w:szCs w:val="24"/>
        </w:rPr>
        <w:t xml:space="preserve">IT IS FURTHER ORDERED that </w:t>
      </w:r>
      <w:r w:rsidR="00600F20">
        <w:rPr>
          <w:sz w:val="24"/>
          <w:szCs w:val="24"/>
        </w:rPr>
        <w:t>if this case</w:t>
      </w:r>
      <w:r w:rsidRPr="00342C3E">
        <w:rPr>
          <w:sz w:val="24"/>
          <w:szCs w:val="24"/>
        </w:rPr>
        <w:t xml:space="preserve"> is not scheduled for a </w:t>
      </w:r>
      <w:proofErr w:type="gramStart"/>
      <w:r w:rsidRPr="00342C3E">
        <w:rPr>
          <w:sz w:val="24"/>
          <w:szCs w:val="24"/>
        </w:rPr>
        <w:t>date</w:t>
      </w:r>
      <w:proofErr w:type="gramEnd"/>
      <w:r w:rsidRPr="00342C3E">
        <w:rPr>
          <w:sz w:val="24"/>
          <w:szCs w:val="24"/>
        </w:rPr>
        <w:t xml:space="preserve"> certain Prehearing Conference during the time frame indicated above</w:t>
      </w:r>
      <w:r w:rsidR="00600F20">
        <w:rPr>
          <w:sz w:val="24"/>
          <w:szCs w:val="24"/>
        </w:rPr>
        <w:t>, the case</w:t>
      </w:r>
      <w:r w:rsidRPr="00342C3E">
        <w:rPr>
          <w:sz w:val="24"/>
          <w:szCs w:val="24"/>
        </w:rPr>
        <w:t xml:space="preserve"> may be scheduled for a </w:t>
      </w:r>
      <w:proofErr w:type="gramStart"/>
      <w:r w:rsidRPr="00342C3E">
        <w:rPr>
          <w:sz w:val="24"/>
          <w:szCs w:val="24"/>
        </w:rPr>
        <w:t>date</w:t>
      </w:r>
      <w:proofErr w:type="gramEnd"/>
      <w:r w:rsidRPr="00342C3E">
        <w:rPr>
          <w:sz w:val="24"/>
          <w:szCs w:val="24"/>
        </w:rPr>
        <w:t xml:space="preserve"> certain Prehearing Conference at any time </w:t>
      </w:r>
      <w:proofErr w:type="gramStart"/>
      <w:r w:rsidRPr="00342C3E">
        <w:rPr>
          <w:sz w:val="24"/>
          <w:szCs w:val="24"/>
        </w:rPr>
        <w:t>subsequent to</w:t>
      </w:r>
      <w:proofErr w:type="gramEnd"/>
      <w:r w:rsidRPr="00342C3E">
        <w:rPr>
          <w:sz w:val="24"/>
          <w:szCs w:val="24"/>
        </w:rPr>
        <w:t xml:space="preserve"> the completion date for this Prehearing General Call.  Parties will, however, be notified in writing approximately </w:t>
      </w:r>
      <w:r>
        <w:rPr>
          <w:sz w:val="24"/>
          <w:szCs w:val="24"/>
        </w:rPr>
        <w:t>28 days</w:t>
      </w:r>
      <w:r w:rsidRPr="00342C3E">
        <w:rPr>
          <w:sz w:val="24"/>
          <w:szCs w:val="24"/>
        </w:rPr>
        <w:t xml:space="preserve"> before they are scheduled to appear.</w:t>
      </w:r>
    </w:p>
    <w:p w14:paraId="3C5FD812" w14:textId="77777777" w:rsidR="00E61A11" w:rsidRDefault="00E61A11" w:rsidP="003A3C48">
      <w:pPr>
        <w:rPr>
          <w:sz w:val="24"/>
          <w:szCs w:val="24"/>
        </w:rPr>
      </w:pPr>
    </w:p>
    <w:p w14:paraId="0FE5D30D" w14:textId="3FA327A7" w:rsidR="00E61A11" w:rsidRDefault="00E61A11" w:rsidP="003A3C48">
      <w:pPr>
        <w:rPr>
          <w:sz w:val="24"/>
          <w:szCs w:val="24"/>
        </w:rPr>
      </w:pPr>
      <w:r>
        <w:rPr>
          <w:sz w:val="24"/>
          <w:szCs w:val="24"/>
        </w:rPr>
        <w:t>IT IS FURTHER ORDERED that given that Respondent’s Motion to Extend is granted, Petitioner may file and serve an amended prehearing statement, if so desired, pursuant to this order.</w:t>
      </w:r>
    </w:p>
    <w:p w14:paraId="5FCAA378" w14:textId="77777777" w:rsidR="00600F20" w:rsidRPr="00EE4B43" w:rsidRDefault="00600F20" w:rsidP="003A3C48">
      <w:pPr>
        <w:rPr>
          <w:sz w:val="24"/>
          <w:szCs w:val="24"/>
        </w:rPr>
      </w:pPr>
    </w:p>
    <w:p w14:paraId="542CA5D2" w14:textId="77777777" w:rsidR="003A3C48" w:rsidRPr="00EE4B43" w:rsidRDefault="003A3C48" w:rsidP="003A3C48">
      <w:pPr>
        <w:rPr>
          <w:sz w:val="24"/>
          <w:szCs w:val="24"/>
        </w:rPr>
      </w:pPr>
    </w:p>
    <w:p w14:paraId="53CF2727" w14:textId="440BAB2E" w:rsidR="00350832" w:rsidRDefault="00350832" w:rsidP="00350832">
      <w:pPr>
        <w:rPr>
          <w:sz w:val="24"/>
          <w:szCs w:val="24"/>
        </w:rPr>
      </w:pPr>
      <w:r>
        <w:rPr>
          <w:sz w:val="24"/>
          <w:szCs w:val="24"/>
        </w:rPr>
        <w:t>Entered:</w:t>
      </w:r>
      <w:r w:rsidR="00C4772A">
        <w:rPr>
          <w:sz w:val="24"/>
          <w:szCs w:val="24"/>
        </w:rPr>
        <w:t xml:space="preserve"> June 10, </w:t>
      </w:r>
      <w:proofErr w:type="gramStart"/>
      <w:r w:rsidR="00C4772A">
        <w:rPr>
          <w:sz w:val="24"/>
          <w:szCs w:val="24"/>
        </w:rPr>
        <w:t>2026</w:t>
      </w:r>
      <w:proofErr w:type="gramEnd"/>
      <w:r>
        <w:rPr>
          <w:sz w:val="24"/>
          <w:szCs w:val="24"/>
        </w:rPr>
        <w:tab/>
      </w:r>
      <w:r>
        <w:rPr>
          <w:sz w:val="24"/>
          <w:szCs w:val="24"/>
        </w:rPr>
        <w:tab/>
      </w:r>
      <w:r>
        <w:rPr>
          <w:sz w:val="24"/>
          <w:szCs w:val="24"/>
        </w:rPr>
        <w:tab/>
      </w:r>
      <w:r>
        <w:rPr>
          <w:sz w:val="24"/>
          <w:szCs w:val="24"/>
        </w:rPr>
        <w:tab/>
        <w:t>By: /s/</w:t>
      </w:r>
      <w:r w:rsidR="00E61A11">
        <w:rPr>
          <w:sz w:val="24"/>
          <w:szCs w:val="24"/>
        </w:rPr>
        <w:t xml:space="preserve"> Patricia L. Halm</w:t>
      </w:r>
    </w:p>
    <w:p w14:paraId="4D1DECD1" w14:textId="59634E4B" w:rsidR="00350832" w:rsidRDefault="00AE0B27" w:rsidP="00350832">
      <w:pPr>
        <w:rPr>
          <w:sz w:val="24"/>
          <w:szCs w:val="24"/>
        </w:rPr>
      </w:pPr>
      <w:proofErr w:type="spellStart"/>
      <w:r>
        <w:rPr>
          <w:sz w:val="24"/>
          <w:szCs w:val="24"/>
        </w:rPr>
        <w:t>s</w:t>
      </w:r>
      <w:r w:rsidR="00BE1840">
        <w:rPr>
          <w:sz w:val="24"/>
          <w:szCs w:val="24"/>
        </w:rPr>
        <w:t>mm</w:t>
      </w:r>
      <w:proofErr w:type="spellEnd"/>
      <w:r>
        <w:rPr>
          <w:sz w:val="24"/>
          <w:szCs w:val="24"/>
        </w:rPr>
        <w:t>/sb</w:t>
      </w:r>
    </w:p>
    <w:p w14:paraId="1012EC1D" w14:textId="77777777" w:rsidR="00350832" w:rsidRDefault="00350832" w:rsidP="00350832">
      <w:pPr>
        <w:spacing w:after="160" w:line="256" w:lineRule="auto"/>
        <w:jc w:val="center"/>
        <w:rPr>
          <w:rFonts w:cs="Arial"/>
          <w:b/>
          <w:bCs/>
          <w:sz w:val="24"/>
          <w:szCs w:val="24"/>
          <w:u w:val="single"/>
        </w:rPr>
      </w:pPr>
    </w:p>
    <w:p w14:paraId="40F8D460" w14:textId="77777777" w:rsidR="00350832" w:rsidRDefault="00350832" w:rsidP="00350832">
      <w:pPr>
        <w:jc w:val="center"/>
        <w:rPr>
          <w:b/>
          <w:bCs/>
          <w:sz w:val="24"/>
          <w:szCs w:val="24"/>
          <w:u w:val="single"/>
        </w:rPr>
      </w:pPr>
      <w:r>
        <w:rPr>
          <w:b/>
          <w:bCs/>
          <w:sz w:val="24"/>
          <w:szCs w:val="24"/>
          <w:u w:val="single"/>
        </w:rPr>
        <w:t>PROOF OF SERVICE</w:t>
      </w:r>
    </w:p>
    <w:p w14:paraId="24F8376D" w14:textId="77777777" w:rsidR="00350832" w:rsidRDefault="00350832" w:rsidP="00350832">
      <w:pPr>
        <w:rPr>
          <w:sz w:val="24"/>
          <w:szCs w:val="24"/>
        </w:rPr>
      </w:pPr>
    </w:p>
    <w:p w14:paraId="61730E30" w14:textId="77777777" w:rsidR="00350832" w:rsidRDefault="00350832" w:rsidP="00350832">
      <w:pPr>
        <w:rPr>
          <w:sz w:val="24"/>
          <w:szCs w:val="24"/>
        </w:rPr>
      </w:pPr>
      <w:r>
        <w:rPr>
          <w:sz w:val="24"/>
          <w:szCs w:val="24"/>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15F42D1E" w14:textId="77777777" w:rsidR="00350832" w:rsidRDefault="00350832" w:rsidP="00350832">
      <w:pPr>
        <w:ind w:left="5040" w:firstLine="720"/>
        <w:rPr>
          <w:sz w:val="24"/>
          <w:szCs w:val="24"/>
        </w:rPr>
      </w:pPr>
    </w:p>
    <w:p w14:paraId="53739E08" w14:textId="77777777" w:rsidR="00350832" w:rsidRDefault="00350832" w:rsidP="00350832">
      <w:pPr>
        <w:ind w:left="5040" w:firstLine="720"/>
        <w:rPr>
          <w:sz w:val="24"/>
          <w:szCs w:val="24"/>
        </w:rPr>
      </w:pPr>
      <w:proofErr w:type="gramStart"/>
      <w:r>
        <w:rPr>
          <w:sz w:val="24"/>
          <w:szCs w:val="24"/>
        </w:rPr>
        <w:t>By</w:t>
      </w:r>
      <w:proofErr w:type="gramEnd"/>
      <w:r>
        <w:rPr>
          <w:sz w:val="24"/>
          <w:szCs w:val="24"/>
        </w:rPr>
        <w:t>: Tribunal Clerk</w:t>
      </w:r>
    </w:p>
    <w:p w14:paraId="5AF078D0" w14:textId="77777777" w:rsidR="00587074" w:rsidRPr="00EE4B43" w:rsidRDefault="00587074" w:rsidP="003A3C48">
      <w:pPr>
        <w:rPr>
          <w:sz w:val="24"/>
          <w:szCs w:val="24"/>
        </w:rPr>
      </w:pPr>
    </w:p>
    <w:sectPr w:rsidR="00587074" w:rsidRPr="00EE4B43" w:rsidSect="001431EE">
      <w:headerReference w:type="default" r:id="rId7"/>
      <w:headerReference w:type="first" r:id="rId8"/>
      <w:footerReference w:type="first" r:id="rId9"/>
      <w:pgSz w:w="12240" w:h="15840"/>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6C2E" w14:textId="77777777" w:rsidR="000A1128" w:rsidRDefault="000A1128" w:rsidP="00F2181C">
      <w:r>
        <w:separator/>
      </w:r>
    </w:p>
  </w:endnote>
  <w:endnote w:type="continuationSeparator" w:id="0">
    <w:p w14:paraId="45FF9582" w14:textId="77777777" w:rsidR="000A1128" w:rsidRDefault="000A1128" w:rsidP="00F2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41E3" w14:textId="77777777" w:rsidR="000E07DE" w:rsidRDefault="000E07DE" w:rsidP="000E07DE">
    <w:pPr>
      <w:pStyle w:val="Footer"/>
      <w:jc w:val="center"/>
      <w:rPr>
        <w:rFonts w:cs="Arial"/>
        <w:sz w:val="18"/>
        <w:szCs w:val="18"/>
      </w:rPr>
    </w:pPr>
    <w:bookmarkStart w:id="2" w:name="_Hlk156989615"/>
    <w:bookmarkStart w:id="3" w:name="_Hlk156989616"/>
    <w:bookmarkStart w:id="4" w:name="_Hlk156989617"/>
    <w:bookmarkStart w:id="5" w:name="_Hlk156989618"/>
    <w:bookmarkStart w:id="6" w:name="_Hlk156989619"/>
    <w:bookmarkStart w:id="7" w:name="_Hlk156989620"/>
    <w:bookmarkStart w:id="8" w:name="_Hlk156989622"/>
    <w:bookmarkStart w:id="9" w:name="_Hlk156989623"/>
    <w:bookmarkStart w:id="10" w:name="_Hlk156994028"/>
    <w:bookmarkStart w:id="11" w:name="_Hlk156994029"/>
    <w:bookmarkStart w:id="12" w:name="_Hlk156994033"/>
    <w:bookmarkStart w:id="13" w:name="_Hlk156994034"/>
    <w:bookmarkStart w:id="14" w:name="_Hlk156994239"/>
    <w:bookmarkStart w:id="15" w:name="_Hlk156994240"/>
    <w:bookmarkStart w:id="16" w:name="_Hlk156994241"/>
    <w:bookmarkStart w:id="17" w:name="_Hlk156994242"/>
    <w:bookmarkStart w:id="18" w:name="_Hlk156994424"/>
    <w:bookmarkStart w:id="19" w:name="_Hlk156994425"/>
    <w:bookmarkStart w:id="20" w:name="_Hlk156994426"/>
    <w:bookmarkStart w:id="21" w:name="_Hlk156994427"/>
    <w:bookmarkStart w:id="22" w:name="_Hlk156994509"/>
    <w:bookmarkStart w:id="23" w:name="_Hlk156994510"/>
    <w:bookmarkStart w:id="24" w:name="_Hlk156994511"/>
    <w:bookmarkStart w:id="25" w:name="_Hlk156994512"/>
    <w:bookmarkStart w:id="26" w:name="_Hlk156994582"/>
    <w:bookmarkStart w:id="27" w:name="_Hlk156994583"/>
    <w:bookmarkStart w:id="28" w:name="_Hlk156994584"/>
    <w:bookmarkStart w:id="29" w:name="_Hlk156994585"/>
    <w:bookmarkStart w:id="30" w:name="_Hlk156994655"/>
    <w:bookmarkStart w:id="31" w:name="_Hlk156994656"/>
    <w:bookmarkStart w:id="32" w:name="_Hlk156994657"/>
    <w:bookmarkStart w:id="33" w:name="_Hlk156994658"/>
    <w:bookmarkStart w:id="34" w:name="_Hlk156996310"/>
    <w:bookmarkStart w:id="35" w:name="_Hlk156996311"/>
    <w:bookmarkStart w:id="36" w:name="_Hlk156996312"/>
    <w:bookmarkStart w:id="37" w:name="_Hlk156996313"/>
    <w:bookmarkStart w:id="38" w:name="_Hlk156996380"/>
    <w:bookmarkStart w:id="39" w:name="_Hlk156996381"/>
    <w:bookmarkStart w:id="40" w:name="_Hlk156996382"/>
    <w:bookmarkStart w:id="41" w:name="_Hlk156996383"/>
    <w:bookmarkStart w:id="42" w:name="_Hlk156997038"/>
    <w:bookmarkStart w:id="43" w:name="_Hlk156997039"/>
    <w:bookmarkStart w:id="44" w:name="_Hlk156997040"/>
    <w:bookmarkStart w:id="45" w:name="_Hlk156997041"/>
    <w:bookmarkStart w:id="46" w:name="_Hlk156999222"/>
    <w:bookmarkStart w:id="47" w:name="_Hlk156999223"/>
    <w:bookmarkStart w:id="48" w:name="_Hlk156999224"/>
    <w:bookmarkStart w:id="49" w:name="_Hlk156999225"/>
    <w:bookmarkStart w:id="50" w:name="_Hlk157000629"/>
    <w:bookmarkStart w:id="51" w:name="_Hlk157000630"/>
    <w:bookmarkStart w:id="52" w:name="_Hlk157000631"/>
    <w:bookmarkStart w:id="53" w:name="_Hlk157000632"/>
    <w:bookmarkStart w:id="54" w:name="_Hlk157003283"/>
    <w:bookmarkStart w:id="55" w:name="_Hlk157003284"/>
    <w:bookmarkStart w:id="56" w:name="_Hlk157003285"/>
    <w:bookmarkStart w:id="57" w:name="_Hlk157003286"/>
    <w:bookmarkStart w:id="58" w:name="_Hlk157003598"/>
    <w:bookmarkStart w:id="59" w:name="_Hlk157003599"/>
    <w:bookmarkStart w:id="60" w:name="_Hlk157003600"/>
    <w:bookmarkStart w:id="61" w:name="_Hlk157003601"/>
    <w:bookmarkStart w:id="62" w:name="_Hlk157003685"/>
    <w:bookmarkStart w:id="63" w:name="_Hlk157003686"/>
    <w:bookmarkStart w:id="64" w:name="_Hlk157003687"/>
    <w:bookmarkStart w:id="65" w:name="_Hlk157003688"/>
    <w:bookmarkStart w:id="66" w:name="_Hlk158107447"/>
    <w:bookmarkStart w:id="67" w:name="_Hlk158107448"/>
    <w:bookmarkStart w:id="68" w:name="_Hlk158107536"/>
    <w:bookmarkStart w:id="69" w:name="_Hlk158107537"/>
    <w:bookmarkStart w:id="70" w:name="_Hlk158107623"/>
    <w:bookmarkStart w:id="71" w:name="_Hlk158107624"/>
    <w:bookmarkStart w:id="72" w:name="_Hlk158108209"/>
    <w:bookmarkStart w:id="73" w:name="_Hlk158108210"/>
    <w:bookmarkStart w:id="74" w:name="_Hlk158108402"/>
    <w:bookmarkStart w:id="75" w:name="_Hlk158108403"/>
    <w:bookmarkStart w:id="76" w:name="_Hlk158108552"/>
    <w:bookmarkStart w:id="77" w:name="_Hlk158108553"/>
    <w:bookmarkStart w:id="78" w:name="_Hlk158108999"/>
    <w:bookmarkStart w:id="79" w:name="_Hlk158109000"/>
    <w:bookmarkStart w:id="80" w:name="_Hlk158109071"/>
    <w:bookmarkStart w:id="81" w:name="_Hlk158109072"/>
    <w:bookmarkStart w:id="82" w:name="_Hlk158109424"/>
    <w:bookmarkStart w:id="83" w:name="_Hlk158109425"/>
    <w:bookmarkStart w:id="84" w:name="_Hlk158109538"/>
    <w:bookmarkStart w:id="85" w:name="_Hlk158109539"/>
    <w:bookmarkStart w:id="86" w:name="_Hlk158109634"/>
    <w:bookmarkStart w:id="87" w:name="_Hlk158109635"/>
    <w:bookmarkStart w:id="88" w:name="_Hlk158109761"/>
    <w:bookmarkStart w:id="89" w:name="_Hlk158109762"/>
    <w:bookmarkStart w:id="90" w:name="_Hlk158109863"/>
    <w:bookmarkStart w:id="91" w:name="_Hlk158109864"/>
    <w:bookmarkStart w:id="92" w:name="_Hlk158109955"/>
    <w:bookmarkStart w:id="93" w:name="_Hlk158109956"/>
    <w:bookmarkStart w:id="94" w:name="_Hlk158110021"/>
    <w:bookmarkStart w:id="95" w:name="_Hlk158110022"/>
    <w:bookmarkStart w:id="96" w:name="_Hlk158110128"/>
    <w:bookmarkStart w:id="97" w:name="_Hlk158110129"/>
    <w:bookmarkStart w:id="98" w:name="_Hlk158112639"/>
    <w:bookmarkStart w:id="99" w:name="_Hlk158112640"/>
    <w:bookmarkStart w:id="100" w:name="_Hlk158112860"/>
    <w:bookmarkStart w:id="101" w:name="_Hlk158112861"/>
    <w:bookmarkStart w:id="102" w:name="_Hlk158113089"/>
    <w:bookmarkStart w:id="103" w:name="_Hlk158113090"/>
    <w:bookmarkStart w:id="104" w:name="_Hlk158115384"/>
    <w:bookmarkStart w:id="105" w:name="_Hlk158115385"/>
    <w:bookmarkStart w:id="106" w:name="_Hlk158115546"/>
    <w:bookmarkStart w:id="107" w:name="_Hlk158115547"/>
    <w:bookmarkStart w:id="108" w:name="_Hlk158115776"/>
    <w:bookmarkStart w:id="109" w:name="_Hlk158115777"/>
    <w:bookmarkStart w:id="110" w:name="_Hlk158115850"/>
    <w:bookmarkStart w:id="111" w:name="_Hlk158115851"/>
    <w:bookmarkStart w:id="112" w:name="_Hlk158117318"/>
    <w:bookmarkStart w:id="113" w:name="_Hlk158117319"/>
    <w:bookmarkStart w:id="114" w:name="_Hlk158117629"/>
    <w:bookmarkStart w:id="115" w:name="_Hlk158117630"/>
    <w:bookmarkStart w:id="116" w:name="_Hlk158117837"/>
    <w:bookmarkStart w:id="117" w:name="_Hlk158117838"/>
    <w:bookmarkStart w:id="118" w:name="_Hlk158117991"/>
    <w:bookmarkStart w:id="119" w:name="_Hlk158117992"/>
    <w:bookmarkStart w:id="120" w:name="_Hlk158118217"/>
    <w:bookmarkStart w:id="121" w:name="_Hlk158118218"/>
    <w:bookmarkStart w:id="122" w:name="_Hlk158118432"/>
    <w:bookmarkStart w:id="123" w:name="_Hlk158118433"/>
    <w:bookmarkStart w:id="124" w:name="_Hlk158118490"/>
    <w:bookmarkStart w:id="125" w:name="_Hlk158118491"/>
    <w:r>
      <w:rPr>
        <w:rFonts w:cs="Arial"/>
        <w:sz w:val="18"/>
        <w:szCs w:val="18"/>
      </w:rPr>
      <w:t>MICHIGAN TAX TRIBUNAL · 611 W. OTTAWA ST., LANSING, MI 48933 · 517-335-9760</w:t>
    </w:r>
  </w:p>
  <w:p w14:paraId="5E015E5D" w14:textId="30D1FE4B" w:rsidR="003A3C48" w:rsidRPr="00DB5BB7" w:rsidRDefault="000E07DE" w:rsidP="000E07DE">
    <w:pPr>
      <w:pStyle w:val="Footer"/>
      <w:jc w:val="center"/>
      <w:rPr>
        <w:rFonts w:cs="Arial"/>
        <w:sz w:val="18"/>
        <w:szCs w:val="18"/>
      </w:rPr>
    </w:pPr>
    <w:r>
      <w:rPr>
        <w:rFonts w:cs="Arial"/>
        <w:sz w:val="18"/>
        <w:szCs w:val="18"/>
      </w:rPr>
      <w:t>PO BOX 30232, LANSING, MI 48909 · Other Carriers: 2407 N</w:t>
    </w:r>
    <w:r w:rsidR="001431EE">
      <w:rPr>
        <w:rFonts w:cs="Arial"/>
        <w:sz w:val="18"/>
        <w:szCs w:val="18"/>
      </w:rPr>
      <w:t>.</w:t>
    </w:r>
    <w:r>
      <w:rPr>
        <w:rFonts w:cs="Arial"/>
        <w:sz w:val="18"/>
        <w:szCs w:val="18"/>
      </w:rPr>
      <w:t xml:space="preserve"> GRAND RIVER AVE</w:t>
    </w:r>
    <w:r w:rsidR="001431EE">
      <w:rPr>
        <w:rFonts w:cs="Arial"/>
        <w:sz w:val="18"/>
        <w:szCs w:val="18"/>
      </w:rPr>
      <w:t>.</w:t>
    </w:r>
    <w:r>
      <w:rPr>
        <w:rFonts w:cs="Arial"/>
        <w:sz w:val="18"/>
        <w:szCs w:val="18"/>
      </w:rPr>
      <w:t>, LANSING, MI 48906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9AC4" w14:textId="77777777" w:rsidR="000A1128" w:rsidRDefault="000A1128" w:rsidP="00F2181C">
      <w:r>
        <w:separator/>
      </w:r>
    </w:p>
  </w:footnote>
  <w:footnote w:type="continuationSeparator" w:id="0">
    <w:p w14:paraId="7F150FA1" w14:textId="77777777" w:rsidR="000A1128" w:rsidRDefault="000A1128" w:rsidP="00F2181C">
      <w:r>
        <w:continuationSeparator/>
      </w:r>
    </w:p>
  </w:footnote>
  <w:footnote w:id="1">
    <w:p w14:paraId="39B1652F" w14:textId="77777777" w:rsidR="00431C12" w:rsidRPr="006F3FB4" w:rsidRDefault="00431C12" w:rsidP="00431C12">
      <w:pPr>
        <w:pStyle w:val="FootnoteText"/>
        <w:rPr>
          <w:rFonts w:cs="Arial"/>
        </w:rPr>
      </w:pPr>
      <w:r w:rsidRPr="006F3FB4">
        <w:rPr>
          <w:rStyle w:val="FootnoteReference"/>
          <w:rFonts w:cs="Arial"/>
        </w:rPr>
        <w:footnoteRef/>
      </w:r>
      <w:r w:rsidRPr="006F3FB4">
        <w:rPr>
          <w:rFonts w:cs="Arial"/>
        </w:rPr>
        <w:t xml:space="preserve"> </w:t>
      </w:r>
      <w:r w:rsidRPr="006F3FB4">
        <w:rPr>
          <w:rFonts w:cs="Arial"/>
          <w:color w:val="333333"/>
          <w:shd w:val="clear" w:color="auto" w:fill="FFFFFF"/>
        </w:rPr>
        <w:t>“</w:t>
      </w:r>
      <w:r w:rsidRPr="006F3FB4">
        <w:rPr>
          <w:rFonts w:cs="Arial"/>
        </w:rPr>
        <w:t>Written responses to motions, for which a motion for immediate consideration has been filed must be signed and filed within 7 days after service of the motion for immediate consideration, if the motion for immediate consideration includes a statement verifying that the moving party has notified all other parties regarding the filing of the motion for immediate consideration and indicating whether those parties will be filing a response to the motion or motions for which the motion of immediate consideration is being filed.”  TTR 2</w:t>
      </w:r>
      <w:r>
        <w:rPr>
          <w:rFonts w:cs="Arial"/>
        </w:rPr>
        <w:t>31</w:t>
      </w:r>
      <w:r w:rsidRPr="006F3FB4">
        <w:rPr>
          <w:rFonts w:cs="Arial"/>
        </w:rPr>
        <w:t>(4).</w:t>
      </w:r>
    </w:p>
  </w:footnote>
  <w:footnote w:id="2">
    <w:p w14:paraId="4510E14C" w14:textId="429DB19C" w:rsidR="00F50671" w:rsidRDefault="00F50671">
      <w:pPr>
        <w:pStyle w:val="FootnoteText"/>
      </w:pPr>
      <w:r>
        <w:rPr>
          <w:rStyle w:val="FootnoteReference"/>
        </w:rPr>
        <w:footnoteRef/>
      </w:r>
      <w:r>
        <w:t xml:space="preserve"> </w:t>
      </w:r>
      <w:r w:rsidRPr="00F50671">
        <w:t>TTR 247(6).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98381352"/>
      <w:docPartObj>
        <w:docPartGallery w:val="Page Numbers (Top of Page)"/>
        <w:docPartUnique/>
      </w:docPartObj>
    </w:sdtPr>
    <w:sdtEndPr/>
    <w:sdtContent>
      <w:p w14:paraId="4311B45D" w14:textId="2AE79003" w:rsidR="00775E79" w:rsidRPr="00775E79" w:rsidRDefault="000E07DE">
        <w:pPr>
          <w:pStyle w:val="Header"/>
          <w:rPr>
            <w:sz w:val="22"/>
          </w:rPr>
        </w:pPr>
        <w:r>
          <w:rPr>
            <w:sz w:val="22"/>
          </w:rPr>
          <w:t>MTT</w:t>
        </w:r>
        <w:r w:rsidR="00587074">
          <w:rPr>
            <w:sz w:val="22"/>
          </w:rPr>
          <w:t xml:space="preserve"> </w:t>
        </w:r>
        <w:r w:rsidR="00775E79" w:rsidRPr="00775E79">
          <w:rPr>
            <w:sz w:val="22"/>
          </w:rPr>
          <w:t xml:space="preserve">Docket No. </w:t>
        </w:r>
        <w:r w:rsidR="008C570B" w:rsidRPr="008C570B">
          <w:rPr>
            <w:sz w:val="22"/>
          </w:rPr>
          <w:t>25-001609</w:t>
        </w:r>
      </w:p>
      <w:p w14:paraId="4C43E86C" w14:textId="24F0C065" w:rsidR="00775E79" w:rsidRPr="00775E79" w:rsidRDefault="00775E79">
        <w:pPr>
          <w:pStyle w:val="Header"/>
          <w:rPr>
            <w:sz w:val="22"/>
          </w:rPr>
        </w:pPr>
        <w:r w:rsidRPr="00775E79">
          <w:rPr>
            <w:sz w:val="22"/>
          </w:rPr>
          <w:t xml:space="preserve">Page </w:t>
        </w:r>
        <w:r w:rsidRPr="00775E79">
          <w:rPr>
            <w:bCs/>
            <w:sz w:val="22"/>
            <w:szCs w:val="24"/>
          </w:rPr>
          <w:fldChar w:fldCharType="begin"/>
        </w:r>
        <w:r w:rsidRPr="00775E79">
          <w:rPr>
            <w:bCs/>
            <w:sz w:val="22"/>
          </w:rPr>
          <w:instrText xml:space="preserve"> PAGE </w:instrText>
        </w:r>
        <w:r w:rsidRPr="00775E79">
          <w:rPr>
            <w:bCs/>
            <w:sz w:val="22"/>
            <w:szCs w:val="24"/>
          </w:rPr>
          <w:fldChar w:fldCharType="separate"/>
        </w:r>
        <w:r w:rsidRPr="00775E79">
          <w:rPr>
            <w:bCs/>
            <w:noProof/>
            <w:sz w:val="22"/>
          </w:rPr>
          <w:t>2</w:t>
        </w:r>
        <w:r w:rsidRPr="00775E79">
          <w:rPr>
            <w:bCs/>
            <w:sz w:val="22"/>
            <w:szCs w:val="24"/>
          </w:rPr>
          <w:fldChar w:fldCharType="end"/>
        </w:r>
        <w:r w:rsidRPr="00775E79">
          <w:rPr>
            <w:sz w:val="22"/>
          </w:rPr>
          <w:t xml:space="preserve"> of </w:t>
        </w:r>
        <w:r w:rsidRPr="00775E79">
          <w:rPr>
            <w:bCs/>
            <w:sz w:val="22"/>
            <w:szCs w:val="24"/>
          </w:rPr>
          <w:fldChar w:fldCharType="begin"/>
        </w:r>
        <w:r w:rsidRPr="00775E79">
          <w:rPr>
            <w:bCs/>
            <w:sz w:val="22"/>
          </w:rPr>
          <w:instrText xml:space="preserve"> NUMPAGES  </w:instrText>
        </w:r>
        <w:r w:rsidRPr="00775E79">
          <w:rPr>
            <w:bCs/>
            <w:sz w:val="22"/>
            <w:szCs w:val="24"/>
          </w:rPr>
          <w:fldChar w:fldCharType="separate"/>
        </w:r>
        <w:r w:rsidRPr="00775E79">
          <w:rPr>
            <w:bCs/>
            <w:noProof/>
            <w:sz w:val="22"/>
          </w:rPr>
          <w:t>2</w:t>
        </w:r>
        <w:r w:rsidRPr="00775E79">
          <w:rPr>
            <w:bCs/>
            <w:sz w:val="22"/>
            <w:szCs w:val="24"/>
          </w:rPr>
          <w:fldChar w:fldCharType="end"/>
        </w:r>
      </w:p>
    </w:sdtContent>
  </w:sdt>
  <w:p w14:paraId="0543C431" w14:textId="77777777" w:rsidR="00F2181C" w:rsidRPr="00775E79" w:rsidRDefault="00F2181C">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4A0" w:firstRow="1" w:lastRow="0" w:firstColumn="1" w:lastColumn="0" w:noHBand="0" w:noVBand="1"/>
    </w:tblPr>
    <w:tblGrid>
      <w:gridCol w:w="2075"/>
      <w:gridCol w:w="6657"/>
      <w:gridCol w:w="2068"/>
    </w:tblGrid>
    <w:tr w:rsidR="001431EE" w14:paraId="3BF26F48" w14:textId="77777777" w:rsidTr="001431EE">
      <w:trPr>
        <w:jc w:val="center"/>
      </w:trPr>
      <w:tc>
        <w:tcPr>
          <w:tcW w:w="2160" w:type="dxa"/>
        </w:tcPr>
        <w:p w14:paraId="0F225D8E" w14:textId="77777777" w:rsidR="001431EE" w:rsidRDefault="001431EE" w:rsidP="001431EE">
          <w:pPr>
            <w:pStyle w:val="Header"/>
          </w:pPr>
        </w:p>
      </w:tc>
      <w:tc>
        <w:tcPr>
          <w:tcW w:w="7074" w:type="dxa"/>
        </w:tcPr>
        <w:p w14:paraId="346BD812" w14:textId="4DC4D12F" w:rsidR="001431EE" w:rsidRDefault="001431EE" w:rsidP="001431EE">
          <w:pPr>
            <w:pStyle w:val="Header"/>
            <w:jc w:val="center"/>
          </w:pPr>
          <w:r>
            <w:rPr>
              <w:noProof/>
            </w:rPr>
            <w:drawing>
              <wp:inline distT="0" distB="0" distL="0" distR="0" wp14:anchorId="15DB0A2F" wp14:editId="3A46EB7C">
                <wp:extent cx="501015" cy="577215"/>
                <wp:effectExtent l="0" t="0" r="0" b="0"/>
                <wp:docPr id="592961373"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577215"/>
                        </a:xfrm>
                        <a:prstGeom prst="rect">
                          <a:avLst/>
                        </a:prstGeom>
                        <a:noFill/>
                        <a:ln>
                          <a:noFill/>
                        </a:ln>
                      </pic:spPr>
                    </pic:pic>
                  </a:graphicData>
                </a:graphic>
              </wp:inline>
            </w:drawing>
          </w:r>
        </w:p>
        <w:p w14:paraId="284CE8F5" w14:textId="77777777" w:rsidR="001431EE" w:rsidRDefault="001431EE" w:rsidP="001431EE">
          <w:pPr>
            <w:pStyle w:val="Header"/>
            <w:jc w:val="center"/>
            <w:rPr>
              <w:sz w:val="16"/>
              <w:szCs w:val="16"/>
            </w:rPr>
          </w:pPr>
        </w:p>
        <w:p w14:paraId="2991BE3F" w14:textId="77777777" w:rsidR="001431EE" w:rsidRDefault="001431EE" w:rsidP="001431EE">
          <w:pPr>
            <w:pStyle w:val="Header"/>
            <w:jc w:val="center"/>
            <w:rPr>
              <w:rFonts w:ascii="Times New Roman" w:hAnsi="Times New Roman"/>
            </w:rPr>
          </w:pPr>
          <w:r>
            <w:rPr>
              <w:rFonts w:ascii="Times New Roman" w:hAnsi="Times New Roman"/>
              <w:smallCaps/>
            </w:rPr>
            <w:t>State of Michigan</w:t>
          </w:r>
        </w:p>
      </w:tc>
      <w:tc>
        <w:tcPr>
          <w:tcW w:w="2160" w:type="dxa"/>
        </w:tcPr>
        <w:p w14:paraId="573C360D" w14:textId="77777777" w:rsidR="001431EE" w:rsidRDefault="001431EE" w:rsidP="001431EE">
          <w:pPr>
            <w:pStyle w:val="Header"/>
            <w:rPr>
              <w:rFonts w:ascii="Century Schoolbook" w:hAnsi="Century Schoolbook"/>
              <w:sz w:val="24"/>
            </w:rPr>
          </w:pPr>
        </w:p>
      </w:tc>
    </w:tr>
    <w:tr w:rsidR="001431EE" w14:paraId="6490E95F" w14:textId="77777777" w:rsidTr="001431EE">
      <w:trPr>
        <w:trHeight w:val="288"/>
        <w:jc w:val="center"/>
      </w:trPr>
      <w:tc>
        <w:tcPr>
          <w:tcW w:w="2160" w:type="dxa"/>
          <w:hideMark/>
        </w:tcPr>
        <w:p w14:paraId="5EA3FFD6" w14:textId="77777777" w:rsidR="001431EE" w:rsidRDefault="001431EE" w:rsidP="001431EE">
          <w:pPr>
            <w:pStyle w:val="Header"/>
            <w:jc w:val="center"/>
            <w:rPr>
              <w:rFonts w:ascii="Helvetica" w:hAnsi="Helvetica" w:cs="Arial"/>
              <w:sz w:val="16"/>
            </w:rPr>
          </w:pPr>
          <w:r>
            <w:rPr>
              <w:rFonts w:ascii="Helvetica" w:hAnsi="Helvetica" w:cs="Arial"/>
              <w:sz w:val="16"/>
            </w:rPr>
            <w:t>GRETCHEN WHITMER</w:t>
          </w:r>
        </w:p>
        <w:p w14:paraId="549A970C" w14:textId="77777777" w:rsidR="001431EE" w:rsidRDefault="001431EE" w:rsidP="001431EE">
          <w:pPr>
            <w:pStyle w:val="Header"/>
            <w:jc w:val="center"/>
            <w:rPr>
              <w:rFonts w:ascii="Helvetica" w:hAnsi="Helvetica" w:cs="Arial"/>
              <w:sz w:val="14"/>
            </w:rPr>
          </w:pPr>
          <w:r>
            <w:rPr>
              <w:rFonts w:ascii="Helvetica" w:hAnsi="Helvetica" w:cs="Arial"/>
              <w:sz w:val="16"/>
            </w:rPr>
            <w:t>GOVERNOR</w:t>
          </w:r>
        </w:p>
      </w:tc>
      <w:tc>
        <w:tcPr>
          <w:tcW w:w="7074" w:type="dxa"/>
          <w:hideMark/>
        </w:tcPr>
        <w:p w14:paraId="49A18D30" w14:textId="77777777" w:rsidR="001431EE" w:rsidRDefault="001431EE" w:rsidP="001431EE">
          <w:pPr>
            <w:pStyle w:val="Header"/>
            <w:jc w:val="center"/>
            <w:rPr>
              <w:rFonts w:ascii="Helvetica" w:hAnsi="Helvetica" w:cs="Helvetica"/>
            </w:rPr>
          </w:pPr>
          <w:r>
            <w:rPr>
              <w:rFonts w:ascii="Helvetica" w:hAnsi="Helvetica" w:cs="Helvetica"/>
            </w:rPr>
            <w:t>DEPARTMENT OF LICENSING AND REGULATORY AFFAIRS</w:t>
          </w:r>
        </w:p>
        <w:p w14:paraId="55B23E82" w14:textId="77777777" w:rsidR="001431EE" w:rsidRDefault="001431EE" w:rsidP="001431EE">
          <w:pPr>
            <w:pStyle w:val="Header"/>
            <w:jc w:val="center"/>
            <w:rPr>
              <w:rFonts w:ascii="Times New Roman" w:hAnsi="Times New Roman" w:cs="Times New Roman"/>
              <w:smallCaps/>
            </w:rPr>
          </w:pPr>
          <w:r>
            <w:rPr>
              <w:rFonts w:ascii="Times New Roman" w:hAnsi="Times New Roman"/>
              <w:smallCaps/>
            </w:rPr>
            <w:t>Lansing</w:t>
          </w:r>
        </w:p>
      </w:tc>
      <w:tc>
        <w:tcPr>
          <w:tcW w:w="2160" w:type="dxa"/>
          <w:hideMark/>
        </w:tcPr>
        <w:p w14:paraId="3214D36D" w14:textId="77777777" w:rsidR="001431EE" w:rsidRDefault="001431EE" w:rsidP="001431EE">
          <w:pPr>
            <w:pStyle w:val="Header"/>
            <w:jc w:val="center"/>
            <w:rPr>
              <w:rFonts w:ascii="Helvetica" w:hAnsi="Helvetica" w:cs="Arial"/>
              <w:sz w:val="14"/>
            </w:rPr>
          </w:pPr>
          <w:r>
            <w:rPr>
              <w:rFonts w:ascii="Helvetica" w:hAnsi="Helvetica" w:cs="Arial"/>
              <w:sz w:val="16"/>
            </w:rPr>
            <w:t>MARLON I. BROWN, DPA</w:t>
          </w:r>
        </w:p>
        <w:p w14:paraId="63FFBA09" w14:textId="77777777" w:rsidR="001431EE" w:rsidRDefault="001431EE" w:rsidP="001431EE">
          <w:pPr>
            <w:pStyle w:val="Header"/>
            <w:jc w:val="center"/>
            <w:rPr>
              <w:rFonts w:cs="Arial"/>
              <w:sz w:val="16"/>
              <w:szCs w:val="16"/>
            </w:rPr>
          </w:pPr>
          <w:r>
            <w:rPr>
              <w:rFonts w:ascii="Helvetica" w:hAnsi="Helvetica" w:cs="Arial"/>
              <w:sz w:val="16"/>
              <w:szCs w:val="16"/>
            </w:rPr>
            <w:t>DIRECTOR</w:t>
          </w:r>
        </w:p>
      </w:tc>
    </w:tr>
  </w:tbl>
  <w:p w14:paraId="6671D7A8" w14:textId="77777777" w:rsidR="00F2181C" w:rsidRPr="001431EE" w:rsidRDefault="00F2181C" w:rsidP="00143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F3"/>
    <w:rsid w:val="00003E29"/>
    <w:rsid w:val="00005F3D"/>
    <w:rsid w:val="00013B3E"/>
    <w:rsid w:val="000209B2"/>
    <w:rsid w:val="00056CF1"/>
    <w:rsid w:val="00066656"/>
    <w:rsid w:val="00073987"/>
    <w:rsid w:val="0007795F"/>
    <w:rsid w:val="000838C5"/>
    <w:rsid w:val="00094167"/>
    <w:rsid w:val="000947B2"/>
    <w:rsid w:val="0009590A"/>
    <w:rsid w:val="00097648"/>
    <w:rsid w:val="000A1128"/>
    <w:rsid w:val="000A26CC"/>
    <w:rsid w:val="000A4AC3"/>
    <w:rsid w:val="000A60FF"/>
    <w:rsid w:val="000D013B"/>
    <w:rsid w:val="000D571C"/>
    <w:rsid w:val="000D6820"/>
    <w:rsid w:val="000E07DE"/>
    <w:rsid w:val="000E78A4"/>
    <w:rsid w:val="001045FA"/>
    <w:rsid w:val="00111773"/>
    <w:rsid w:val="00112537"/>
    <w:rsid w:val="00126B8A"/>
    <w:rsid w:val="00131475"/>
    <w:rsid w:val="00132CE5"/>
    <w:rsid w:val="001431EE"/>
    <w:rsid w:val="001653E6"/>
    <w:rsid w:val="001726C9"/>
    <w:rsid w:val="001962CD"/>
    <w:rsid w:val="001966EB"/>
    <w:rsid w:val="001B120D"/>
    <w:rsid w:val="001C54DB"/>
    <w:rsid w:val="001F700A"/>
    <w:rsid w:val="002315DB"/>
    <w:rsid w:val="0024750C"/>
    <w:rsid w:val="00261D50"/>
    <w:rsid w:val="00264C81"/>
    <w:rsid w:val="0027083D"/>
    <w:rsid w:val="0027499C"/>
    <w:rsid w:val="00274B8A"/>
    <w:rsid w:val="002813CD"/>
    <w:rsid w:val="002873B7"/>
    <w:rsid w:val="002B0D72"/>
    <w:rsid w:val="002B3AE8"/>
    <w:rsid w:val="002C5D54"/>
    <w:rsid w:val="002D436E"/>
    <w:rsid w:val="002E1576"/>
    <w:rsid w:val="002E3460"/>
    <w:rsid w:val="002E492E"/>
    <w:rsid w:val="002E4B2E"/>
    <w:rsid w:val="00300A75"/>
    <w:rsid w:val="00300FF4"/>
    <w:rsid w:val="00303EE3"/>
    <w:rsid w:val="003254D1"/>
    <w:rsid w:val="003319DA"/>
    <w:rsid w:val="00332448"/>
    <w:rsid w:val="00334372"/>
    <w:rsid w:val="00350832"/>
    <w:rsid w:val="003722A4"/>
    <w:rsid w:val="00375801"/>
    <w:rsid w:val="0037711D"/>
    <w:rsid w:val="00391C89"/>
    <w:rsid w:val="003A3C48"/>
    <w:rsid w:val="003B6EFB"/>
    <w:rsid w:val="003D3B98"/>
    <w:rsid w:val="003E07CE"/>
    <w:rsid w:val="003E2571"/>
    <w:rsid w:val="003F24C9"/>
    <w:rsid w:val="003F6AEE"/>
    <w:rsid w:val="00420FF6"/>
    <w:rsid w:val="00425933"/>
    <w:rsid w:val="00427465"/>
    <w:rsid w:val="00431875"/>
    <w:rsid w:val="00431C12"/>
    <w:rsid w:val="00432BD3"/>
    <w:rsid w:val="00455233"/>
    <w:rsid w:val="00473DB3"/>
    <w:rsid w:val="00496E33"/>
    <w:rsid w:val="004A4F8E"/>
    <w:rsid w:val="004B32AC"/>
    <w:rsid w:val="004B7DAD"/>
    <w:rsid w:val="004C06F5"/>
    <w:rsid w:val="004D45D0"/>
    <w:rsid w:val="004D6508"/>
    <w:rsid w:val="004E2AD5"/>
    <w:rsid w:val="004F3E70"/>
    <w:rsid w:val="004F75BE"/>
    <w:rsid w:val="00515628"/>
    <w:rsid w:val="005326A0"/>
    <w:rsid w:val="005370E4"/>
    <w:rsid w:val="0054122E"/>
    <w:rsid w:val="00542F25"/>
    <w:rsid w:val="005435D0"/>
    <w:rsid w:val="00577E1E"/>
    <w:rsid w:val="00580FF4"/>
    <w:rsid w:val="00587074"/>
    <w:rsid w:val="00590E31"/>
    <w:rsid w:val="005A4BF2"/>
    <w:rsid w:val="005C7513"/>
    <w:rsid w:val="00600F20"/>
    <w:rsid w:val="0061596D"/>
    <w:rsid w:val="0062078B"/>
    <w:rsid w:val="00633FBD"/>
    <w:rsid w:val="0065113D"/>
    <w:rsid w:val="00657120"/>
    <w:rsid w:val="006738DE"/>
    <w:rsid w:val="0068174B"/>
    <w:rsid w:val="00692420"/>
    <w:rsid w:val="006939E8"/>
    <w:rsid w:val="006C4202"/>
    <w:rsid w:val="006F1AC6"/>
    <w:rsid w:val="006F5290"/>
    <w:rsid w:val="0070014A"/>
    <w:rsid w:val="007143E6"/>
    <w:rsid w:val="00714BB1"/>
    <w:rsid w:val="00714D07"/>
    <w:rsid w:val="0073770F"/>
    <w:rsid w:val="00746782"/>
    <w:rsid w:val="00755937"/>
    <w:rsid w:val="00775E79"/>
    <w:rsid w:val="0078159F"/>
    <w:rsid w:val="00796811"/>
    <w:rsid w:val="007C01C3"/>
    <w:rsid w:val="007C6F31"/>
    <w:rsid w:val="007E6869"/>
    <w:rsid w:val="0080728A"/>
    <w:rsid w:val="00813974"/>
    <w:rsid w:val="0083024E"/>
    <w:rsid w:val="00831736"/>
    <w:rsid w:val="00840DBF"/>
    <w:rsid w:val="00856186"/>
    <w:rsid w:val="00856DFC"/>
    <w:rsid w:val="00862235"/>
    <w:rsid w:val="00881CDB"/>
    <w:rsid w:val="00883B37"/>
    <w:rsid w:val="008A3C0F"/>
    <w:rsid w:val="008B0899"/>
    <w:rsid w:val="008B7123"/>
    <w:rsid w:val="008C0A9A"/>
    <w:rsid w:val="008C161D"/>
    <w:rsid w:val="008C458A"/>
    <w:rsid w:val="008C4770"/>
    <w:rsid w:val="008C570B"/>
    <w:rsid w:val="008E3A1E"/>
    <w:rsid w:val="008F0BDF"/>
    <w:rsid w:val="00916D33"/>
    <w:rsid w:val="009376C3"/>
    <w:rsid w:val="00943593"/>
    <w:rsid w:val="009477A8"/>
    <w:rsid w:val="00961152"/>
    <w:rsid w:val="00977A5A"/>
    <w:rsid w:val="00982253"/>
    <w:rsid w:val="00993751"/>
    <w:rsid w:val="009B31DB"/>
    <w:rsid w:val="009B31EC"/>
    <w:rsid w:val="009B474B"/>
    <w:rsid w:val="009C2F6A"/>
    <w:rsid w:val="009F5802"/>
    <w:rsid w:val="009F77FD"/>
    <w:rsid w:val="00A068A5"/>
    <w:rsid w:val="00A13DCB"/>
    <w:rsid w:val="00A22F6D"/>
    <w:rsid w:val="00A24C1F"/>
    <w:rsid w:val="00A30C73"/>
    <w:rsid w:val="00A342D6"/>
    <w:rsid w:val="00A45425"/>
    <w:rsid w:val="00A5618A"/>
    <w:rsid w:val="00A646FC"/>
    <w:rsid w:val="00A67B8B"/>
    <w:rsid w:val="00A94489"/>
    <w:rsid w:val="00A96909"/>
    <w:rsid w:val="00A96DAB"/>
    <w:rsid w:val="00AA6705"/>
    <w:rsid w:val="00AB39A2"/>
    <w:rsid w:val="00AB6702"/>
    <w:rsid w:val="00AB686A"/>
    <w:rsid w:val="00AD4D4D"/>
    <w:rsid w:val="00AE0B27"/>
    <w:rsid w:val="00B03FB9"/>
    <w:rsid w:val="00B07CF4"/>
    <w:rsid w:val="00B1206D"/>
    <w:rsid w:val="00B1746D"/>
    <w:rsid w:val="00B17EBE"/>
    <w:rsid w:val="00B2475D"/>
    <w:rsid w:val="00B4532B"/>
    <w:rsid w:val="00B46CEA"/>
    <w:rsid w:val="00B476E6"/>
    <w:rsid w:val="00B5310C"/>
    <w:rsid w:val="00B538EA"/>
    <w:rsid w:val="00B65740"/>
    <w:rsid w:val="00B77521"/>
    <w:rsid w:val="00B836FD"/>
    <w:rsid w:val="00BA27A4"/>
    <w:rsid w:val="00BA7085"/>
    <w:rsid w:val="00BC4650"/>
    <w:rsid w:val="00BD53C6"/>
    <w:rsid w:val="00BD7083"/>
    <w:rsid w:val="00BE1840"/>
    <w:rsid w:val="00BE5655"/>
    <w:rsid w:val="00BF20F3"/>
    <w:rsid w:val="00BF3FFE"/>
    <w:rsid w:val="00BF5363"/>
    <w:rsid w:val="00C110CC"/>
    <w:rsid w:val="00C127E9"/>
    <w:rsid w:val="00C16D29"/>
    <w:rsid w:val="00C30412"/>
    <w:rsid w:val="00C4772A"/>
    <w:rsid w:val="00C66B8E"/>
    <w:rsid w:val="00C76E21"/>
    <w:rsid w:val="00C8216E"/>
    <w:rsid w:val="00C825CA"/>
    <w:rsid w:val="00D10EDA"/>
    <w:rsid w:val="00D33634"/>
    <w:rsid w:val="00D36F43"/>
    <w:rsid w:val="00D859C5"/>
    <w:rsid w:val="00D9488D"/>
    <w:rsid w:val="00DA3A31"/>
    <w:rsid w:val="00DA59DD"/>
    <w:rsid w:val="00DB5BB7"/>
    <w:rsid w:val="00DC1FD3"/>
    <w:rsid w:val="00DF00BB"/>
    <w:rsid w:val="00E0198A"/>
    <w:rsid w:val="00E070C6"/>
    <w:rsid w:val="00E34DE8"/>
    <w:rsid w:val="00E54590"/>
    <w:rsid w:val="00E61A11"/>
    <w:rsid w:val="00E766D8"/>
    <w:rsid w:val="00E84854"/>
    <w:rsid w:val="00E84A89"/>
    <w:rsid w:val="00E92769"/>
    <w:rsid w:val="00E9406E"/>
    <w:rsid w:val="00EA40B9"/>
    <w:rsid w:val="00ED388D"/>
    <w:rsid w:val="00ED6314"/>
    <w:rsid w:val="00EE2222"/>
    <w:rsid w:val="00EE4B43"/>
    <w:rsid w:val="00EF2948"/>
    <w:rsid w:val="00F05E7A"/>
    <w:rsid w:val="00F11D3F"/>
    <w:rsid w:val="00F1495A"/>
    <w:rsid w:val="00F169A0"/>
    <w:rsid w:val="00F2181C"/>
    <w:rsid w:val="00F27E13"/>
    <w:rsid w:val="00F4115A"/>
    <w:rsid w:val="00F50671"/>
    <w:rsid w:val="00F51890"/>
    <w:rsid w:val="00F52D6C"/>
    <w:rsid w:val="00F57BB8"/>
    <w:rsid w:val="00F6499D"/>
    <w:rsid w:val="00F71DCC"/>
    <w:rsid w:val="00F96655"/>
    <w:rsid w:val="00FB2364"/>
    <w:rsid w:val="00FB6E29"/>
    <w:rsid w:val="00FD297E"/>
    <w:rsid w:val="00FD75DB"/>
    <w:rsid w:val="00FE4A48"/>
    <w:rsid w:val="00FF3D96"/>
    <w:rsid w:val="00FF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1832"/>
  <w15:chartTrackingRefBased/>
  <w15:docId w15:val="{A33A32DC-C292-4F05-BE00-D61997D7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181C"/>
    <w:pPr>
      <w:tabs>
        <w:tab w:val="center" w:pos="4680"/>
        <w:tab w:val="right" w:pos="9360"/>
      </w:tabs>
    </w:pPr>
  </w:style>
  <w:style w:type="character" w:customStyle="1" w:styleId="HeaderChar">
    <w:name w:val="Header Char"/>
    <w:basedOn w:val="DefaultParagraphFont"/>
    <w:link w:val="Header"/>
    <w:rsid w:val="00F218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81C"/>
    <w:pPr>
      <w:tabs>
        <w:tab w:val="center" w:pos="4680"/>
        <w:tab w:val="right" w:pos="9360"/>
      </w:tabs>
    </w:pPr>
  </w:style>
  <w:style w:type="character" w:customStyle="1" w:styleId="FooterChar">
    <w:name w:val="Footer Char"/>
    <w:basedOn w:val="DefaultParagraphFont"/>
    <w:link w:val="Footer"/>
    <w:uiPriority w:val="99"/>
    <w:rsid w:val="00F2181C"/>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0198A"/>
  </w:style>
  <w:style w:type="character" w:customStyle="1" w:styleId="FootnoteTextChar">
    <w:name w:val="Footnote Text Char"/>
    <w:basedOn w:val="DefaultParagraphFont"/>
    <w:link w:val="FootnoteText"/>
    <w:rsid w:val="00E0198A"/>
    <w:rPr>
      <w:rFonts w:ascii="Times New Roman" w:eastAsia="Times New Roman" w:hAnsi="Times New Roman" w:cs="Times New Roman"/>
    </w:rPr>
  </w:style>
  <w:style w:type="character" w:styleId="FootnoteReference">
    <w:name w:val="footnote reference"/>
    <w:basedOn w:val="DefaultParagraphFont"/>
    <w:unhideWhenUsed/>
    <w:rsid w:val="00E0198A"/>
    <w:rPr>
      <w:vertAlign w:val="superscript"/>
    </w:rPr>
  </w:style>
  <w:style w:type="paragraph" w:styleId="BalloonText">
    <w:name w:val="Balloon Text"/>
    <w:basedOn w:val="Normal"/>
    <w:link w:val="BalloonTextChar"/>
    <w:uiPriority w:val="99"/>
    <w:semiHidden/>
    <w:unhideWhenUsed/>
    <w:rsid w:val="00587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074"/>
    <w:rPr>
      <w:rFonts w:ascii="Segoe UI" w:hAnsi="Segoe UI" w:cs="Segoe UI"/>
      <w:sz w:val="18"/>
      <w:szCs w:val="18"/>
    </w:rPr>
  </w:style>
  <w:style w:type="paragraph" w:styleId="Revision">
    <w:name w:val="Revision"/>
    <w:hidden/>
    <w:uiPriority w:val="99"/>
    <w:semiHidden/>
    <w:rsid w:val="00E84A89"/>
  </w:style>
  <w:style w:type="character" w:customStyle="1" w:styleId="shortdesc1">
    <w:name w:val="shortdesc1"/>
    <w:rsid w:val="00B2475D"/>
    <w:rPr>
      <w:color w:val="000000"/>
      <w:sz w:val="17"/>
      <w:szCs w:val="17"/>
    </w:rPr>
  </w:style>
  <w:style w:type="character" w:styleId="CommentReference">
    <w:name w:val="annotation reference"/>
    <w:basedOn w:val="DefaultParagraphFont"/>
    <w:uiPriority w:val="99"/>
    <w:semiHidden/>
    <w:unhideWhenUsed/>
    <w:rsid w:val="00ED388D"/>
    <w:rPr>
      <w:sz w:val="16"/>
      <w:szCs w:val="16"/>
    </w:rPr>
  </w:style>
  <w:style w:type="paragraph" w:styleId="CommentText">
    <w:name w:val="annotation text"/>
    <w:basedOn w:val="Normal"/>
    <w:link w:val="CommentTextChar"/>
    <w:uiPriority w:val="99"/>
    <w:unhideWhenUsed/>
    <w:rsid w:val="00ED388D"/>
  </w:style>
  <w:style w:type="character" w:customStyle="1" w:styleId="CommentTextChar">
    <w:name w:val="Comment Text Char"/>
    <w:basedOn w:val="DefaultParagraphFont"/>
    <w:link w:val="CommentText"/>
    <w:uiPriority w:val="99"/>
    <w:rsid w:val="00ED388D"/>
  </w:style>
  <w:style w:type="paragraph" w:styleId="CommentSubject">
    <w:name w:val="annotation subject"/>
    <w:basedOn w:val="CommentText"/>
    <w:next w:val="CommentText"/>
    <w:link w:val="CommentSubjectChar"/>
    <w:uiPriority w:val="99"/>
    <w:semiHidden/>
    <w:unhideWhenUsed/>
    <w:rsid w:val="00ED388D"/>
    <w:rPr>
      <w:b/>
      <w:bCs/>
    </w:rPr>
  </w:style>
  <w:style w:type="character" w:customStyle="1" w:styleId="CommentSubjectChar">
    <w:name w:val="Comment Subject Char"/>
    <w:basedOn w:val="CommentTextChar"/>
    <w:link w:val="CommentSubject"/>
    <w:uiPriority w:val="99"/>
    <w:semiHidden/>
    <w:rsid w:val="00ED3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456">
      <w:bodyDiv w:val="1"/>
      <w:marLeft w:val="0"/>
      <w:marRight w:val="0"/>
      <w:marTop w:val="0"/>
      <w:marBottom w:val="0"/>
      <w:divBdr>
        <w:top w:val="none" w:sz="0" w:space="0" w:color="auto"/>
        <w:left w:val="none" w:sz="0" w:space="0" w:color="auto"/>
        <w:bottom w:val="none" w:sz="0" w:space="0" w:color="auto"/>
        <w:right w:val="none" w:sz="0" w:space="0" w:color="auto"/>
      </w:divBdr>
    </w:div>
    <w:div w:id="376929970">
      <w:bodyDiv w:val="1"/>
      <w:marLeft w:val="0"/>
      <w:marRight w:val="0"/>
      <w:marTop w:val="0"/>
      <w:marBottom w:val="0"/>
      <w:divBdr>
        <w:top w:val="none" w:sz="0" w:space="0" w:color="auto"/>
        <w:left w:val="none" w:sz="0" w:space="0" w:color="auto"/>
        <w:bottom w:val="none" w:sz="0" w:space="0" w:color="auto"/>
        <w:right w:val="none" w:sz="0" w:space="0" w:color="auto"/>
      </w:divBdr>
    </w:div>
    <w:div w:id="468858733">
      <w:bodyDiv w:val="1"/>
      <w:marLeft w:val="0"/>
      <w:marRight w:val="0"/>
      <w:marTop w:val="0"/>
      <w:marBottom w:val="0"/>
      <w:divBdr>
        <w:top w:val="none" w:sz="0" w:space="0" w:color="auto"/>
        <w:left w:val="none" w:sz="0" w:space="0" w:color="auto"/>
        <w:bottom w:val="none" w:sz="0" w:space="0" w:color="auto"/>
        <w:right w:val="none" w:sz="0" w:space="0" w:color="auto"/>
      </w:divBdr>
    </w:div>
    <w:div w:id="1133520303">
      <w:bodyDiv w:val="1"/>
      <w:marLeft w:val="0"/>
      <w:marRight w:val="0"/>
      <w:marTop w:val="0"/>
      <w:marBottom w:val="0"/>
      <w:divBdr>
        <w:top w:val="none" w:sz="0" w:space="0" w:color="auto"/>
        <w:left w:val="none" w:sz="0" w:space="0" w:color="auto"/>
        <w:bottom w:val="none" w:sz="0" w:space="0" w:color="auto"/>
        <w:right w:val="none" w:sz="0" w:space="0" w:color="auto"/>
      </w:divBdr>
    </w:div>
    <w:div w:id="16403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653A-DD17-44BF-A546-80486AA7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Margeson, Wesley (LARA)</dc:creator>
  <cp:keywords/>
  <dc:description/>
  <cp:lastModifiedBy>Mitchell, Erica (LARA)</cp:lastModifiedBy>
  <cp:revision>2</cp:revision>
  <dcterms:created xsi:type="dcterms:W3CDTF">2026-06-12T13:57:00Z</dcterms:created>
  <dcterms:modified xsi:type="dcterms:W3CDTF">2026-06-12T13:57:00Z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2021-08-19T19:07:05Z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f979fbf6-a545-46b1-ac9f-7d1a8a1c7737</vt:lpwstr>
  </property>
  <property fmtid="{D5CDD505-2E9C-101B-9397-08002B2CF9AE}" pid="8" name="MSIP_Label_3a2fed65-62e7-46ea-af74-187e0c17143a_ContentBits">
    <vt:lpwstr>0</vt:lpwstr>
  </property>
</Properties>
</file>