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F1493" w14:textId="37251696" w:rsidR="00F2181C" w:rsidRPr="007A7AAF" w:rsidRDefault="003A0CE1" w:rsidP="00F2181C">
      <w:pPr>
        <w:widowControl w:val="0"/>
        <w:tabs>
          <w:tab w:val="left" w:pos="5580"/>
        </w:tabs>
        <w:autoSpaceDE w:val="0"/>
        <w:autoSpaceDN w:val="0"/>
        <w:adjustRightInd w:val="0"/>
        <w:rPr>
          <w:rFonts w:cs="Arial"/>
          <w:sz w:val="24"/>
          <w:szCs w:val="24"/>
        </w:rPr>
      </w:pPr>
      <w:r>
        <w:rPr>
          <w:rFonts w:cs="Arial"/>
          <w:sz w:val="24"/>
          <w:szCs w:val="24"/>
        </w:rPr>
        <w:t>DeVincent McFarlin</w:t>
      </w:r>
      <w:r w:rsidR="00F2181C" w:rsidRPr="007A7AAF">
        <w:rPr>
          <w:rFonts w:cs="Arial"/>
          <w:sz w:val="24"/>
          <w:szCs w:val="24"/>
        </w:rPr>
        <w:t>,</w:t>
      </w:r>
      <w:r w:rsidR="00F2181C" w:rsidRPr="007A7AAF">
        <w:rPr>
          <w:rFonts w:cs="Arial"/>
          <w:sz w:val="24"/>
          <w:szCs w:val="24"/>
        </w:rPr>
        <w:tab/>
        <w:t>MICHIGAN TAX TRIBUNAL</w:t>
      </w:r>
    </w:p>
    <w:p w14:paraId="16452026" w14:textId="59E9E3AA" w:rsidR="00F2181C" w:rsidRPr="007A7AAF" w:rsidRDefault="00F2181C" w:rsidP="00F2181C">
      <w:pPr>
        <w:widowControl w:val="0"/>
        <w:tabs>
          <w:tab w:val="left" w:pos="720"/>
          <w:tab w:val="left" w:pos="5580"/>
        </w:tabs>
        <w:autoSpaceDE w:val="0"/>
        <w:autoSpaceDN w:val="0"/>
        <w:adjustRightInd w:val="0"/>
        <w:rPr>
          <w:rFonts w:cs="Arial"/>
          <w:sz w:val="24"/>
          <w:szCs w:val="24"/>
        </w:rPr>
      </w:pPr>
      <w:r w:rsidRPr="007A7AAF">
        <w:rPr>
          <w:rFonts w:cs="Arial"/>
          <w:sz w:val="24"/>
          <w:szCs w:val="24"/>
        </w:rPr>
        <w:tab/>
        <w:t>Petitioner,</w:t>
      </w:r>
      <w:r w:rsidR="00277EAE">
        <w:rPr>
          <w:rFonts w:cs="Arial"/>
          <w:sz w:val="24"/>
          <w:szCs w:val="24"/>
        </w:rPr>
        <w:tab/>
      </w:r>
      <w:r w:rsidR="003A0CE1">
        <w:rPr>
          <w:rFonts w:cs="Arial"/>
          <w:sz w:val="24"/>
          <w:szCs w:val="24"/>
        </w:rPr>
        <w:t>SMALL CLAIMS DIVISION</w:t>
      </w:r>
    </w:p>
    <w:p w14:paraId="74EF15FD" w14:textId="77777777" w:rsidR="00F2181C" w:rsidRPr="009709C9" w:rsidRDefault="00F2181C" w:rsidP="00F2181C">
      <w:pPr>
        <w:widowControl w:val="0"/>
        <w:tabs>
          <w:tab w:val="left" w:pos="-1440"/>
        </w:tabs>
        <w:autoSpaceDE w:val="0"/>
        <w:autoSpaceDN w:val="0"/>
        <w:adjustRightInd w:val="0"/>
        <w:ind w:left="5760" w:hanging="5760"/>
        <w:rPr>
          <w:rFonts w:cs="Arial"/>
        </w:rPr>
      </w:pPr>
    </w:p>
    <w:p w14:paraId="132B6FFE" w14:textId="255EF039" w:rsidR="00F2181C" w:rsidRPr="007A7AAF" w:rsidRDefault="00F2181C" w:rsidP="00F2181C">
      <w:pPr>
        <w:widowControl w:val="0"/>
        <w:tabs>
          <w:tab w:val="left" w:pos="5040"/>
          <w:tab w:val="left" w:pos="5580"/>
        </w:tabs>
        <w:autoSpaceDE w:val="0"/>
        <w:autoSpaceDN w:val="0"/>
        <w:adjustRightInd w:val="0"/>
        <w:rPr>
          <w:rFonts w:cs="Arial"/>
          <w:sz w:val="24"/>
          <w:szCs w:val="24"/>
        </w:rPr>
      </w:pPr>
      <w:r w:rsidRPr="007A7AAF">
        <w:rPr>
          <w:rFonts w:cs="Arial"/>
          <w:sz w:val="24"/>
          <w:szCs w:val="24"/>
        </w:rPr>
        <w:t>v</w:t>
      </w:r>
      <w:r w:rsidRPr="007A7AAF">
        <w:rPr>
          <w:rFonts w:cs="Arial"/>
          <w:sz w:val="24"/>
          <w:szCs w:val="24"/>
        </w:rPr>
        <w:tab/>
      </w:r>
      <w:r w:rsidRPr="007A7AAF">
        <w:rPr>
          <w:rFonts w:cs="Arial"/>
          <w:sz w:val="24"/>
          <w:szCs w:val="24"/>
        </w:rPr>
        <w:tab/>
      </w:r>
      <w:r w:rsidR="007A3AB0">
        <w:rPr>
          <w:rFonts w:cs="Arial"/>
          <w:sz w:val="24"/>
          <w:szCs w:val="24"/>
        </w:rPr>
        <w:t>MTT</w:t>
      </w:r>
      <w:r w:rsidRPr="007A7AAF">
        <w:rPr>
          <w:rFonts w:cs="Arial"/>
          <w:sz w:val="24"/>
          <w:szCs w:val="24"/>
        </w:rPr>
        <w:t xml:space="preserve"> Docket No. </w:t>
      </w:r>
      <w:bookmarkStart w:id="0" w:name="Text2"/>
      <w:r w:rsidR="003A0CE1">
        <w:rPr>
          <w:rFonts w:cs="Arial"/>
          <w:sz w:val="24"/>
          <w:szCs w:val="24"/>
        </w:rPr>
        <w:t>25-00343</w:t>
      </w:r>
      <w:r w:rsidR="003F020C">
        <w:rPr>
          <w:rFonts w:cs="Arial"/>
          <w:sz w:val="24"/>
          <w:szCs w:val="24"/>
        </w:rPr>
        <w:t>6</w:t>
      </w:r>
      <w:r w:rsidR="00032F75">
        <w:rPr>
          <w:rFonts w:cs="Arial"/>
          <w:sz w:val="24"/>
          <w:szCs w:val="24"/>
        </w:rPr>
        <w:t xml:space="preserve"> </w:t>
      </w:r>
      <w:bookmarkEnd w:id="0"/>
    </w:p>
    <w:p w14:paraId="0474181A" w14:textId="77777777" w:rsidR="00F2181C" w:rsidRPr="009709C9" w:rsidRDefault="00F2181C" w:rsidP="00F2181C">
      <w:pPr>
        <w:widowControl w:val="0"/>
        <w:autoSpaceDE w:val="0"/>
        <w:autoSpaceDN w:val="0"/>
        <w:adjustRightInd w:val="0"/>
        <w:rPr>
          <w:rFonts w:cs="Arial"/>
        </w:rPr>
      </w:pPr>
    </w:p>
    <w:p w14:paraId="74CD5317" w14:textId="4DDD5CAF" w:rsidR="00F2181C" w:rsidRPr="007A7AAF" w:rsidRDefault="003A0CE1" w:rsidP="00F2181C">
      <w:pPr>
        <w:widowControl w:val="0"/>
        <w:tabs>
          <w:tab w:val="left" w:pos="5040"/>
          <w:tab w:val="left" w:pos="5580"/>
        </w:tabs>
        <w:autoSpaceDE w:val="0"/>
        <w:autoSpaceDN w:val="0"/>
        <w:adjustRightInd w:val="0"/>
        <w:rPr>
          <w:rFonts w:cs="Arial"/>
          <w:sz w:val="24"/>
          <w:szCs w:val="24"/>
          <w:u w:val="single"/>
        </w:rPr>
      </w:pPr>
      <w:r>
        <w:rPr>
          <w:rFonts w:cs="Arial"/>
          <w:sz w:val="24"/>
          <w:szCs w:val="24"/>
        </w:rPr>
        <w:t>City of Wayne</w:t>
      </w:r>
      <w:proofErr w:type="gramStart"/>
      <w:r w:rsidR="00F2181C" w:rsidRPr="007A7AAF">
        <w:rPr>
          <w:rFonts w:cs="Arial"/>
          <w:sz w:val="24"/>
          <w:szCs w:val="24"/>
        </w:rPr>
        <w:t>,</w:t>
      </w:r>
      <w:r w:rsidR="00F2181C" w:rsidRPr="007A7AAF">
        <w:rPr>
          <w:rFonts w:cs="Arial"/>
          <w:sz w:val="24"/>
          <w:szCs w:val="24"/>
        </w:rPr>
        <w:tab/>
      </w:r>
      <w:r w:rsidR="00F2181C" w:rsidRPr="007A7AAF">
        <w:rPr>
          <w:rFonts w:cs="Arial"/>
          <w:sz w:val="24"/>
          <w:szCs w:val="24"/>
        </w:rPr>
        <w:tab/>
      </w:r>
      <w:r w:rsidR="00F2181C" w:rsidRPr="007A7AAF">
        <w:rPr>
          <w:rFonts w:cs="Arial"/>
          <w:sz w:val="24"/>
          <w:szCs w:val="24"/>
          <w:u w:val="single"/>
        </w:rPr>
        <w:t>Presiding</w:t>
      </w:r>
      <w:proofErr w:type="gramEnd"/>
      <w:r w:rsidR="00F2181C" w:rsidRPr="007A7AAF">
        <w:rPr>
          <w:rFonts w:cs="Arial"/>
          <w:sz w:val="24"/>
          <w:szCs w:val="24"/>
          <w:u w:val="single"/>
        </w:rPr>
        <w:t xml:space="preserve"> Judge</w:t>
      </w:r>
    </w:p>
    <w:p w14:paraId="03F99BA9" w14:textId="63A8BD53" w:rsidR="00F2181C" w:rsidRPr="007A7AAF" w:rsidRDefault="00F2181C" w:rsidP="00F2181C">
      <w:pPr>
        <w:widowControl w:val="0"/>
        <w:tabs>
          <w:tab w:val="left" w:pos="5040"/>
          <w:tab w:val="left" w:pos="5580"/>
        </w:tabs>
        <w:autoSpaceDE w:val="0"/>
        <w:autoSpaceDN w:val="0"/>
        <w:adjustRightInd w:val="0"/>
        <w:ind w:firstLine="720"/>
        <w:rPr>
          <w:rFonts w:cs="Arial"/>
          <w:sz w:val="24"/>
          <w:szCs w:val="24"/>
        </w:rPr>
      </w:pPr>
      <w:r w:rsidRPr="007A7AAF">
        <w:rPr>
          <w:rFonts w:cs="Arial"/>
          <w:sz w:val="24"/>
          <w:szCs w:val="24"/>
        </w:rPr>
        <w:t>Respondent.</w:t>
      </w:r>
      <w:r w:rsidRPr="007A7AAF">
        <w:rPr>
          <w:rFonts w:cs="Arial"/>
          <w:sz w:val="24"/>
          <w:szCs w:val="24"/>
        </w:rPr>
        <w:tab/>
      </w:r>
      <w:r w:rsidRPr="007A7AAF">
        <w:rPr>
          <w:rFonts w:cs="Arial"/>
          <w:sz w:val="24"/>
          <w:szCs w:val="24"/>
        </w:rPr>
        <w:tab/>
      </w:r>
      <w:r w:rsidR="003A0CE1">
        <w:rPr>
          <w:rFonts w:cs="Arial"/>
          <w:sz w:val="24"/>
          <w:szCs w:val="24"/>
        </w:rPr>
        <w:t>Joshua. M. Wease</w:t>
      </w:r>
    </w:p>
    <w:p w14:paraId="692701ED" w14:textId="4D600DDE" w:rsidR="004B32AC" w:rsidRPr="009709C9" w:rsidRDefault="004B32AC"/>
    <w:p w14:paraId="5309593C" w14:textId="02D620DC" w:rsidR="003A0CE1" w:rsidRDefault="003A0CE1" w:rsidP="00FC2660">
      <w:pPr>
        <w:jc w:val="center"/>
        <w:rPr>
          <w:sz w:val="24"/>
          <w:szCs w:val="24"/>
          <w:u w:val="single"/>
        </w:rPr>
      </w:pPr>
      <w:r>
        <w:rPr>
          <w:sz w:val="24"/>
          <w:szCs w:val="24"/>
          <w:u w:val="single"/>
        </w:rPr>
        <w:t>ORDER GRANTING PETITIONER’S MOTION FOR IMMEDIATE CONSIDERATION</w:t>
      </w:r>
    </w:p>
    <w:p w14:paraId="32601FFD" w14:textId="77777777" w:rsidR="003A0CE1" w:rsidRPr="009709C9" w:rsidRDefault="003A0CE1" w:rsidP="00FC2660">
      <w:pPr>
        <w:jc w:val="center"/>
        <w:rPr>
          <w:u w:val="single"/>
        </w:rPr>
      </w:pPr>
    </w:p>
    <w:p w14:paraId="3CAE9B77" w14:textId="3C2A1412" w:rsidR="009B55A5" w:rsidRDefault="00FC2660" w:rsidP="003D3CCB">
      <w:pPr>
        <w:jc w:val="center"/>
        <w:rPr>
          <w:sz w:val="24"/>
          <w:szCs w:val="24"/>
          <w:u w:val="single"/>
        </w:rPr>
      </w:pPr>
      <w:r w:rsidRPr="00404F22">
        <w:rPr>
          <w:sz w:val="24"/>
          <w:szCs w:val="24"/>
          <w:u w:val="single"/>
        </w:rPr>
        <w:t xml:space="preserve">ORDER </w:t>
      </w:r>
      <w:r w:rsidR="00F50416" w:rsidRPr="00404F22">
        <w:rPr>
          <w:sz w:val="24"/>
          <w:szCs w:val="24"/>
          <w:u w:val="single"/>
        </w:rPr>
        <w:t>DENYING</w:t>
      </w:r>
      <w:r w:rsidR="009B55A5" w:rsidRPr="00404F22">
        <w:rPr>
          <w:sz w:val="24"/>
          <w:szCs w:val="24"/>
          <w:u w:val="single"/>
        </w:rPr>
        <w:t xml:space="preserve"> PETITIONER</w:t>
      </w:r>
      <w:r w:rsidRPr="00404F22">
        <w:rPr>
          <w:sz w:val="24"/>
          <w:szCs w:val="24"/>
          <w:u w:val="single"/>
        </w:rPr>
        <w:t xml:space="preserve">’S MOTION FOR </w:t>
      </w:r>
      <w:r w:rsidR="009B55A5" w:rsidRPr="00404F22">
        <w:rPr>
          <w:sz w:val="24"/>
          <w:szCs w:val="24"/>
          <w:u w:val="single"/>
        </w:rPr>
        <w:t>ADJOURNMENT</w:t>
      </w:r>
    </w:p>
    <w:p w14:paraId="209010A2" w14:textId="77777777" w:rsidR="00404F22" w:rsidRPr="009709C9" w:rsidRDefault="00404F22" w:rsidP="003D3CCB">
      <w:pPr>
        <w:jc w:val="center"/>
        <w:rPr>
          <w:u w:val="single"/>
        </w:rPr>
      </w:pPr>
    </w:p>
    <w:p w14:paraId="24ED6C9C" w14:textId="77777777" w:rsidR="00404F22" w:rsidRDefault="00404F22" w:rsidP="00404F22">
      <w:pPr>
        <w:jc w:val="center"/>
        <w:rPr>
          <w:sz w:val="24"/>
          <w:szCs w:val="24"/>
          <w:u w:val="single"/>
        </w:rPr>
      </w:pPr>
      <w:r w:rsidRPr="00004C8F">
        <w:rPr>
          <w:sz w:val="24"/>
          <w:szCs w:val="24"/>
          <w:u w:val="single"/>
        </w:rPr>
        <w:t>ORDER PARTIALLY GRANTING PETITIONER’S MOTION FOR RECONSIDERATION</w:t>
      </w:r>
    </w:p>
    <w:p w14:paraId="09D8260C" w14:textId="77777777" w:rsidR="00004C8F" w:rsidRPr="009709C9" w:rsidRDefault="00004C8F" w:rsidP="00404F22">
      <w:pPr>
        <w:jc w:val="center"/>
        <w:rPr>
          <w:u w:val="single"/>
        </w:rPr>
      </w:pPr>
    </w:p>
    <w:p w14:paraId="06C5102C" w14:textId="12CE18AF" w:rsidR="00004C8F" w:rsidRDefault="00004C8F" w:rsidP="00004C8F">
      <w:pPr>
        <w:jc w:val="center"/>
        <w:rPr>
          <w:sz w:val="24"/>
          <w:szCs w:val="24"/>
          <w:u w:val="single"/>
        </w:rPr>
      </w:pPr>
      <w:r>
        <w:rPr>
          <w:sz w:val="24"/>
          <w:szCs w:val="24"/>
          <w:u w:val="single"/>
        </w:rPr>
        <w:t xml:space="preserve">ORDER GRANTING PETITIONER’S </w:t>
      </w:r>
      <w:r w:rsidR="00E07C27">
        <w:rPr>
          <w:sz w:val="24"/>
          <w:szCs w:val="24"/>
          <w:u w:val="single"/>
        </w:rPr>
        <w:t>REQUEST</w:t>
      </w:r>
      <w:r>
        <w:rPr>
          <w:sz w:val="24"/>
          <w:szCs w:val="24"/>
          <w:u w:val="single"/>
        </w:rPr>
        <w:t xml:space="preserve"> FOR VIDEO CONFERENCE</w:t>
      </w:r>
      <w:r w:rsidR="00D14F1C">
        <w:rPr>
          <w:sz w:val="24"/>
          <w:szCs w:val="24"/>
          <w:u w:val="single"/>
        </w:rPr>
        <w:t xml:space="preserve"> HEARING</w:t>
      </w:r>
    </w:p>
    <w:p w14:paraId="2F8799BE" w14:textId="77777777" w:rsidR="00404F22" w:rsidRPr="009709C9" w:rsidRDefault="00404F22" w:rsidP="00404F22">
      <w:pPr>
        <w:jc w:val="center"/>
        <w:rPr>
          <w:u w:val="single"/>
        </w:rPr>
      </w:pPr>
    </w:p>
    <w:p w14:paraId="7F98513B" w14:textId="77777777" w:rsidR="00404F22" w:rsidRPr="00FC2660" w:rsidRDefault="00404F22" w:rsidP="00404F22">
      <w:pPr>
        <w:jc w:val="center"/>
        <w:rPr>
          <w:sz w:val="24"/>
          <w:szCs w:val="24"/>
          <w:u w:val="single"/>
        </w:rPr>
      </w:pPr>
      <w:r>
        <w:rPr>
          <w:sz w:val="24"/>
          <w:szCs w:val="24"/>
          <w:u w:val="single"/>
        </w:rPr>
        <w:t>NOTICE OF VIDEO CONFERENCE HEARING</w:t>
      </w:r>
    </w:p>
    <w:p w14:paraId="72EA17E5" w14:textId="77777777" w:rsidR="00004C8F" w:rsidRDefault="00004C8F" w:rsidP="00C635BD">
      <w:pPr>
        <w:rPr>
          <w:sz w:val="24"/>
          <w:szCs w:val="24"/>
        </w:rPr>
      </w:pPr>
    </w:p>
    <w:p w14:paraId="3D3CF5D0" w14:textId="1F1D0CE9" w:rsidR="00C635BD" w:rsidRPr="006116E4" w:rsidRDefault="006116E4" w:rsidP="00C635BD">
      <w:pPr>
        <w:rPr>
          <w:sz w:val="24"/>
          <w:szCs w:val="24"/>
        </w:rPr>
      </w:pPr>
      <w:r>
        <w:rPr>
          <w:sz w:val="24"/>
          <w:szCs w:val="24"/>
        </w:rPr>
        <w:t>The</w:t>
      </w:r>
      <w:r w:rsidR="00C635BD" w:rsidRPr="006116E4">
        <w:rPr>
          <w:sz w:val="24"/>
          <w:szCs w:val="24"/>
        </w:rPr>
        <w:t xml:space="preserve"> </w:t>
      </w:r>
      <w:r w:rsidR="00404F22">
        <w:rPr>
          <w:sz w:val="24"/>
          <w:szCs w:val="24"/>
        </w:rPr>
        <w:t xml:space="preserve">hearing </w:t>
      </w:r>
      <w:r w:rsidR="00004C8F">
        <w:rPr>
          <w:sz w:val="24"/>
          <w:szCs w:val="24"/>
        </w:rPr>
        <w:t xml:space="preserve">in this matter </w:t>
      </w:r>
      <w:r w:rsidR="00404F22">
        <w:rPr>
          <w:sz w:val="24"/>
          <w:szCs w:val="24"/>
        </w:rPr>
        <w:t xml:space="preserve">shall be held </w:t>
      </w:r>
      <w:r w:rsidR="00004C8F">
        <w:rPr>
          <w:sz w:val="24"/>
          <w:szCs w:val="24"/>
        </w:rPr>
        <w:t xml:space="preserve">virtually </w:t>
      </w:r>
      <w:r w:rsidR="00404F22">
        <w:rPr>
          <w:sz w:val="24"/>
          <w:szCs w:val="24"/>
        </w:rPr>
        <w:t xml:space="preserve">as a </w:t>
      </w:r>
      <w:r w:rsidR="00C635BD" w:rsidRPr="006116E4">
        <w:rPr>
          <w:sz w:val="24"/>
          <w:szCs w:val="24"/>
        </w:rPr>
        <w:t>video hearing</w:t>
      </w:r>
      <w:r w:rsidR="00404F22">
        <w:rPr>
          <w:sz w:val="24"/>
          <w:szCs w:val="24"/>
        </w:rPr>
        <w:t xml:space="preserve"> </w:t>
      </w:r>
      <w:r w:rsidR="00C635BD" w:rsidRPr="006116E4">
        <w:rPr>
          <w:sz w:val="24"/>
          <w:szCs w:val="24"/>
        </w:rPr>
        <w:t>via Microsoft Teams, as follows:</w:t>
      </w:r>
    </w:p>
    <w:p w14:paraId="66AF07E6" w14:textId="77777777" w:rsidR="00C635BD" w:rsidRPr="009709C9" w:rsidRDefault="00C635BD" w:rsidP="00C635BD"/>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6205"/>
      </w:tblGrid>
      <w:tr w:rsidR="00DF42BF" w:rsidRPr="0026326B" w14:paraId="5A21D337" w14:textId="77777777" w:rsidTr="00C262D7">
        <w:trPr>
          <w:trHeight w:val="395"/>
          <w:jc w:val="center"/>
        </w:trPr>
        <w:tc>
          <w:tcPr>
            <w:tcW w:w="3145" w:type="dxa"/>
            <w:vAlign w:val="center"/>
          </w:tcPr>
          <w:p w14:paraId="6BB3CD90" w14:textId="77777777" w:rsidR="00DF42BF" w:rsidRPr="0026326B" w:rsidRDefault="00DF42BF" w:rsidP="00C262D7">
            <w:pPr>
              <w:jc w:val="center"/>
            </w:pPr>
            <w:r w:rsidRPr="0026326B">
              <w:t>HEARING DATE:</w:t>
            </w:r>
          </w:p>
        </w:tc>
        <w:tc>
          <w:tcPr>
            <w:tcW w:w="6205" w:type="dxa"/>
            <w:vAlign w:val="center"/>
          </w:tcPr>
          <w:p w14:paraId="6BE20D36" w14:textId="77777777" w:rsidR="00DF42BF" w:rsidRPr="0026326B" w:rsidRDefault="00DF42BF" w:rsidP="00C262D7">
            <w:r w:rsidRPr="0026326B">
              <w:t>July 20, 2026</w:t>
            </w:r>
          </w:p>
        </w:tc>
      </w:tr>
      <w:tr w:rsidR="00DF42BF" w:rsidRPr="0026326B" w14:paraId="50E0D015" w14:textId="77777777" w:rsidTr="00C262D7">
        <w:trPr>
          <w:trHeight w:val="548"/>
          <w:jc w:val="center"/>
        </w:trPr>
        <w:tc>
          <w:tcPr>
            <w:tcW w:w="3145" w:type="dxa"/>
            <w:vAlign w:val="center"/>
          </w:tcPr>
          <w:p w14:paraId="5EB0D5E5" w14:textId="77777777" w:rsidR="00DF42BF" w:rsidRPr="0026326B" w:rsidRDefault="00DF42BF" w:rsidP="00C262D7">
            <w:pPr>
              <w:jc w:val="center"/>
            </w:pPr>
            <w:r w:rsidRPr="0026326B">
              <w:t>HEARING TIME:</w:t>
            </w:r>
          </w:p>
        </w:tc>
        <w:tc>
          <w:tcPr>
            <w:tcW w:w="6205" w:type="dxa"/>
            <w:vAlign w:val="center"/>
          </w:tcPr>
          <w:p w14:paraId="410AA821" w14:textId="77777777" w:rsidR="00DF42BF" w:rsidRPr="0026326B" w:rsidRDefault="00DF42BF" w:rsidP="00C262D7">
            <w:r w:rsidRPr="0026326B">
              <w:t xml:space="preserve">9:00 AM, M Eastern Time </w:t>
            </w:r>
          </w:p>
        </w:tc>
      </w:tr>
      <w:tr w:rsidR="00DF42BF" w:rsidRPr="0026326B" w14:paraId="03346EC5" w14:textId="77777777" w:rsidTr="00C262D7">
        <w:trPr>
          <w:trHeight w:val="548"/>
          <w:jc w:val="center"/>
        </w:trPr>
        <w:tc>
          <w:tcPr>
            <w:tcW w:w="3145" w:type="dxa"/>
            <w:vAlign w:val="center"/>
          </w:tcPr>
          <w:p w14:paraId="5B9B8427" w14:textId="77777777" w:rsidR="00DF42BF" w:rsidRPr="0026326B" w:rsidRDefault="00DF42BF" w:rsidP="00C262D7">
            <w:pPr>
              <w:jc w:val="center"/>
            </w:pPr>
            <w:r w:rsidRPr="0026326B">
              <w:t>TEAMS HEARING LINK:</w:t>
            </w:r>
          </w:p>
        </w:tc>
        <w:tc>
          <w:tcPr>
            <w:tcW w:w="6205" w:type="dxa"/>
            <w:vAlign w:val="center"/>
          </w:tcPr>
          <w:p w14:paraId="7829B3CA" w14:textId="26714E42" w:rsidR="00DF42BF" w:rsidRPr="0026326B" w:rsidRDefault="00DF42BF" w:rsidP="00C262D7">
            <w:pPr>
              <w:rPr>
                <w:rStyle w:val="Hyperlink"/>
                <w:b/>
                <w:bCs/>
              </w:rPr>
            </w:pPr>
            <w:r w:rsidRPr="0026326B">
              <w:rPr>
                <w:b/>
                <w:bCs/>
                <w:color w:val="0000FF"/>
                <w:u w:val="single"/>
              </w:rPr>
              <w:fldChar w:fldCharType="begin"/>
            </w:r>
            <w:r w:rsidR="00741409">
              <w:rPr>
                <w:b/>
                <w:bCs/>
                <w:color w:val="0000FF"/>
                <w:u w:val="single"/>
              </w:rPr>
              <w:instrText>HYPERLINK "https://stateofmichigan-my.sharepoint.com/personal/careyrichardsonj_michigan_gov/Documents/Join the meeting now" \o "Meeting join"</w:instrText>
            </w:r>
            <w:r w:rsidRPr="0026326B">
              <w:rPr>
                <w:b/>
                <w:bCs/>
                <w:color w:val="0000FF"/>
                <w:u w:val="single"/>
              </w:rPr>
            </w:r>
            <w:r w:rsidRPr="0026326B">
              <w:rPr>
                <w:b/>
                <w:bCs/>
                <w:color w:val="0000FF"/>
                <w:u w:val="single"/>
              </w:rPr>
              <w:fldChar w:fldCharType="separate"/>
            </w:r>
            <w:r w:rsidRPr="0026326B">
              <w:rPr>
                <w:rStyle w:val="Hyperlink"/>
              </w:rPr>
              <w:t>Join the meeting now</w:t>
            </w:r>
            <w:r w:rsidRPr="0026326B">
              <w:rPr>
                <w:rStyle w:val="Hyperlink"/>
                <w:b/>
                <w:bCs/>
              </w:rPr>
              <w:t xml:space="preserve"> </w:t>
            </w:r>
          </w:p>
          <w:p w14:paraId="72E3549A" w14:textId="77777777" w:rsidR="00DF42BF" w:rsidRPr="0026326B" w:rsidRDefault="00DF42BF" w:rsidP="00C262D7">
            <w:pPr>
              <w:rPr>
                <w:color w:val="242424"/>
              </w:rPr>
            </w:pPr>
            <w:r w:rsidRPr="0026326B">
              <w:rPr>
                <w:b/>
                <w:bCs/>
                <w:color w:val="0000FF"/>
                <w:u w:val="single"/>
              </w:rPr>
              <w:fldChar w:fldCharType="end"/>
            </w:r>
            <w:r w:rsidRPr="0026326B">
              <w:rPr>
                <w:b/>
                <w:bCs/>
                <w:color w:val="242424"/>
              </w:rPr>
              <w:t>Dial in by phone</w:t>
            </w:r>
            <w:r w:rsidRPr="0026326B">
              <w:rPr>
                <w:color w:val="242424"/>
              </w:rPr>
              <w:t xml:space="preserve"> </w:t>
            </w:r>
          </w:p>
          <w:p w14:paraId="16317A7B" w14:textId="77777777" w:rsidR="00DF42BF" w:rsidRPr="0026326B" w:rsidRDefault="00DF42BF" w:rsidP="00C262D7">
            <w:hyperlink r:id="rId7" w:history="1">
              <w:r w:rsidRPr="0026326B">
                <w:rPr>
                  <w:color w:val="0000FF"/>
                  <w:u w:val="single"/>
                </w:rPr>
                <w:t>+1 248-509-</w:t>
              </w:r>
              <w:proofErr w:type="gramStart"/>
              <w:r w:rsidRPr="0026326B">
                <w:rPr>
                  <w:color w:val="0000FF"/>
                  <w:u w:val="single"/>
                </w:rPr>
                <w:t>0316,,</w:t>
              </w:r>
              <w:proofErr w:type="gramEnd"/>
              <w:r w:rsidRPr="0026326B">
                <w:rPr>
                  <w:color w:val="0000FF"/>
                  <w:u w:val="single"/>
                </w:rPr>
                <w:t>614155454#</w:t>
              </w:r>
            </w:hyperlink>
            <w:r w:rsidRPr="0026326B">
              <w:rPr>
                <w:color w:val="242424"/>
              </w:rPr>
              <w:t xml:space="preserve"> United States, Troy</w:t>
            </w:r>
          </w:p>
        </w:tc>
      </w:tr>
      <w:tr w:rsidR="00DF42BF" w:rsidRPr="0026326B" w14:paraId="1D4810CF" w14:textId="77777777" w:rsidTr="00C262D7">
        <w:trPr>
          <w:trHeight w:val="548"/>
          <w:jc w:val="center"/>
        </w:trPr>
        <w:tc>
          <w:tcPr>
            <w:tcW w:w="3145" w:type="dxa"/>
            <w:vAlign w:val="center"/>
          </w:tcPr>
          <w:p w14:paraId="0D8A23E2" w14:textId="77777777" w:rsidR="00DF42BF" w:rsidRPr="0026326B" w:rsidRDefault="00DF42BF" w:rsidP="00C262D7">
            <w:pPr>
              <w:jc w:val="center"/>
            </w:pPr>
            <w:r w:rsidRPr="0026326B">
              <w:t>PARTICIPANTS’ GUIDE</w:t>
            </w:r>
          </w:p>
        </w:tc>
        <w:tc>
          <w:tcPr>
            <w:tcW w:w="6205" w:type="dxa"/>
            <w:vAlign w:val="center"/>
          </w:tcPr>
          <w:p w14:paraId="078F3DF2" w14:textId="77777777" w:rsidR="00DF42BF" w:rsidRPr="0026326B" w:rsidRDefault="00DF42BF" w:rsidP="00C262D7">
            <w:hyperlink r:id="rId8" w:history="1">
              <w:r w:rsidRPr="0026326B">
                <w:rPr>
                  <w:rStyle w:val="Hyperlink"/>
                </w:rPr>
                <w:t>https://bit.ly/34fBXnN</w:t>
              </w:r>
            </w:hyperlink>
          </w:p>
        </w:tc>
      </w:tr>
    </w:tbl>
    <w:p w14:paraId="7628BDF2" w14:textId="77777777" w:rsidR="00004C8F" w:rsidRPr="009709C9" w:rsidRDefault="00004C8F" w:rsidP="00C635BD"/>
    <w:tbl>
      <w:tblPr>
        <w:tblpPr w:leftFromText="180" w:rightFromText="180" w:vertAnchor="page" w:horzAnchor="margin" w:tblpXSpec="center" w:tblpY="12049"/>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9709C9" w:rsidRPr="007A7642" w14:paraId="74B30F74" w14:textId="77777777" w:rsidTr="00E07C27">
        <w:trPr>
          <w:trHeight w:val="2159"/>
        </w:trPr>
        <w:tc>
          <w:tcPr>
            <w:tcW w:w="10998" w:type="dxa"/>
          </w:tcPr>
          <w:p w14:paraId="222A836C" w14:textId="77777777" w:rsidR="009709C9" w:rsidRPr="00004C8F" w:rsidRDefault="009709C9" w:rsidP="00E07C27">
            <w:pPr>
              <w:spacing w:after="120"/>
              <w:ind w:right="106"/>
              <w:jc w:val="center"/>
              <w:rPr>
                <w:rFonts w:cs="Arial"/>
                <w:color w:val="212121"/>
                <w:sz w:val="24"/>
                <w:szCs w:val="24"/>
                <w:lang w:bidi="bn-IN"/>
              </w:rPr>
            </w:pPr>
            <w:r w:rsidRPr="00004C8F">
              <w:rPr>
                <w:rFonts w:cs="Arial"/>
                <w:color w:val="212121"/>
                <w:sz w:val="24"/>
                <w:szCs w:val="24"/>
                <w:lang w:bidi="bn-IN"/>
              </w:rPr>
              <w:t>This is an important legal document.  Please have someone translate the document.</w:t>
            </w:r>
          </w:p>
          <w:p w14:paraId="54008CAB" w14:textId="77777777" w:rsidR="009709C9" w:rsidRPr="00004C8F" w:rsidRDefault="009709C9" w:rsidP="00E07C27">
            <w:pPr>
              <w:spacing w:after="120"/>
              <w:ind w:right="106"/>
              <w:jc w:val="center"/>
              <w:rPr>
                <w:rFonts w:cs="Arial"/>
                <w:color w:val="212121"/>
                <w:sz w:val="24"/>
                <w:szCs w:val="24"/>
                <w:lang w:bidi="bn-IN"/>
              </w:rPr>
            </w:pPr>
            <w:r w:rsidRPr="00004C8F">
              <w:rPr>
                <w:rFonts w:cs="Arial"/>
                <w:color w:val="212121"/>
                <w:sz w:val="24"/>
                <w:szCs w:val="24"/>
                <w:lang w:val="es-ES"/>
              </w:rPr>
              <w:t>Este es un documento legal importante.  Por favor, haga traducir este documento.</w:t>
            </w:r>
          </w:p>
          <w:p w14:paraId="34214C12" w14:textId="77777777" w:rsidR="009709C9" w:rsidRPr="00004C8F" w:rsidRDefault="009709C9" w:rsidP="00E07C27">
            <w:pPr>
              <w:spacing w:after="120" w:line="264" w:lineRule="auto"/>
              <w:ind w:right="106"/>
              <w:jc w:val="center"/>
              <w:rPr>
                <w:rFonts w:cs="Arial"/>
                <w:sz w:val="24"/>
                <w:szCs w:val="24"/>
              </w:rPr>
            </w:pPr>
            <w:r w:rsidRPr="00004C8F">
              <w:rPr>
                <w:rFonts w:ascii="Nirmala UI" w:hAnsi="Nirmala UI" w:cs="Nirmala UI" w:hint="cs"/>
                <w:sz w:val="24"/>
                <w:szCs w:val="24"/>
                <w:cs/>
                <w:lang w:bidi="bn-IN"/>
              </w:rPr>
              <w:t>এটি</w:t>
            </w:r>
            <w:r w:rsidRPr="00004C8F">
              <w:rPr>
                <w:rFonts w:cs="Arial"/>
                <w:sz w:val="24"/>
                <w:szCs w:val="24"/>
                <w:cs/>
                <w:lang w:bidi="bn-IN"/>
              </w:rPr>
              <w:t xml:space="preserve"> </w:t>
            </w:r>
            <w:r w:rsidRPr="00004C8F">
              <w:rPr>
                <w:rFonts w:ascii="Nirmala UI" w:hAnsi="Nirmala UI" w:cs="Nirmala UI" w:hint="cs"/>
                <w:sz w:val="24"/>
                <w:szCs w:val="24"/>
                <w:cs/>
                <w:lang w:bidi="bn-IN"/>
              </w:rPr>
              <w:t>একটি</w:t>
            </w:r>
            <w:r w:rsidRPr="00004C8F">
              <w:rPr>
                <w:rFonts w:cs="Arial"/>
                <w:sz w:val="24"/>
                <w:szCs w:val="24"/>
                <w:cs/>
                <w:lang w:bidi="bn-IN"/>
              </w:rPr>
              <w:t xml:space="preserve"> </w:t>
            </w:r>
            <w:r w:rsidRPr="00004C8F">
              <w:rPr>
                <w:rFonts w:ascii="Nirmala UI" w:hAnsi="Nirmala UI" w:cs="Nirmala UI" w:hint="cs"/>
                <w:sz w:val="24"/>
                <w:szCs w:val="24"/>
                <w:cs/>
                <w:lang w:bidi="bn-IN"/>
              </w:rPr>
              <w:t>গুরুত্বপূর্ণ</w:t>
            </w:r>
            <w:r w:rsidRPr="00004C8F">
              <w:rPr>
                <w:rFonts w:cs="Arial"/>
                <w:sz w:val="24"/>
                <w:szCs w:val="24"/>
                <w:cs/>
                <w:lang w:bidi="bn-IN"/>
              </w:rPr>
              <w:t xml:space="preserve"> </w:t>
            </w:r>
            <w:r w:rsidRPr="00004C8F">
              <w:rPr>
                <w:rFonts w:ascii="Nirmala UI" w:hAnsi="Nirmala UI" w:cs="Nirmala UI" w:hint="cs"/>
                <w:sz w:val="24"/>
                <w:szCs w:val="24"/>
                <w:cs/>
                <w:lang w:bidi="bn-IN"/>
              </w:rPr>
              <w:t>আইনি</w:t>
            </w:r>
            <w:r w:rsidRPr="00004C8F">
              <w:rPr>
                <w:rFonts w:cs="Arial"/>
                <w:sz w:val="24"/>
                <w:szCs w:val="24"/>
                <w:cs/>
                <w:lang w:bidi="bn-IN"/>
              </w:rPr>
              <w:t xml:space="preserve"> </w:t>
            </w:r>
            <w:r w:rsidRPr="00004C8F">
              <w:rPr>
                <w:rFonts w:ascii="Nirmala UI" w:hAnsi="Nirmala UI" w:cs="Nirmala UI" w:hint="cs"/>
                <w:sz w:val="24"/>
                <w:szCs w:val="24"/>
                <w:cs/>
                <w:lang w:bidi="bn-IN"/>
              </w:rPr>
              <w:t>দলিল</w:t>
            </w:r>
            <w:r w:rsidRPr="00004C8F">
              <w:rPr>
                <w:rFonts w:cs="Arial"/>
                <w:sz w:val="24"/>
                <w:szCs w:val="24"/>
              </w:rPr>
              <w:t xml:space="preserve">, </w:t>
            </w:r>
            <w:r w:rsidRPr="00004C8F">
              <w:rPr>
                <w:rFonts w:ascii="Nirmala UI" w:hAnsi="Nirmala UI" w:cs="Nirmala UI" w:hint="cs"/>
                <w:sz w:val="24"/>
                <w:szCs w:val="24"/>
                <w:cs/>
                <w:lang w:bidi="bn-IN"/>
              </w:rPr>
              <w:t>অনুগ্রহ</w:t>
            </w:r>
            <w:r w:rsidRPr="00004C8F">
              <w:rPr>
                <w:rFonts w:cs="Arial"/>
                <w:sz w:val="24"/>
                <w:szCs w:val="24"/>
                <w:cs/>
                <w:lang w:bidi="bn-IN"/>
              </w:rPr>
              <w:t xml:space="preserve"> </w:t>
            </w:r>
            <w:r w:rsidRPr="00004C8F">
              <w:rPr>
                <w:rFonts w:ascii="Nirmala UI" w:hAnsi="Nirmala UI" w:cs="Nirmala UI" w:hint="cs"/>
                <w:sz w:val="24"/>
                <w:szCs w:val="24"/>
                <w:cs/>
                <w:lang w:bidi="bn-IN"/>
              </w:rPr>
              <w:t>করে</w:t>
            </w:r>
            <w:r w:rsidRPr="00004C8F">
              <w:rPr>
                <w:rFonts w:cs="Arial"/>
                <w:sz w:val="24"/>
                <w:szCs w:val="24"/>
                <w:cs/>
                <w:lang w:bidi="bn-IN"/>
              </w:rPr>
              <w:t xml:space="preserve"> </w:t>
            </w:r>
            <w:r w:rsidRPr="00004C8F">
              <w:rPr>
                <w:rFonts w:ascii="Nirmala UI" w:hAnsi="Nirmala UI" w:cs="Nirmala UI" w:hint="cs"/>
                <w:sz w:val="24"/>
                <w:szCs w:val="24"/>
                <w:cs/>
                <w:lang w:bidi="bn-IN"/>
              </w:rPr>
              <w:t>কেউ</w:t>
            </w:r>
            <w:r w:rsidRPr="00004C8F">
              <w:rPr>
                <w:rFonts w:cs="Arial"/>
                <w:sz w:val="24"/>
                <w:szCs w:val="24"/>
                <w:cs/>
                <w:lang w:bidi="bn-IN"/>
              </w:rPr>
              <w:t xml:space="preserve"> </w:t>
            </w:r>
            <w:r w:rsidRPr="00004C8F">
              <w:rPr>
                <w:rFonts w:ascii="Nirmala UI" w:hAnsi="Nirmala UI" w:cs="Nirmala UI" w:hint="cs"/>
                <w:sz w:val="24"/>
                <w:szCs w:val="24"/>
                <w:cs/>
                <w:lang w:bidi="bn-IN"/>
              </w:rPr>
              <w:t>দলিলটিকে</w:t>
            </w:r>
            <w:r w:rsidRPr="00004C8F">
              <w:rPr>
                <w:rFonts w:cs="Arial"/>
                <w:sz w:val="24"/>
                <w:szCs w:val="24"/>
                <w:cs/>
                <w:lang w:bidi="bn-IN"/>
              </w:rPr>
              <w:t xml:space="preserve"> </w:t>
            </w:r>
            <w:r w:rsidRPr="00004C8F">
              <w:rPr>
                <w:rFonts w:ascii="Nirmala UI" w:hAnsi="Nirmala UI" w:cs="Nirmala UI" w:hint="cs"/>
                <w:sz w:val="24"/>
                <w:szCs w:val="24"/>
                <w:cs/>
                <w:lang w:bidi="bn-IN"/>
              </w:rPr>
              <w:t>অনুবাদ</w:t>
            </w:r>
            <w:r w:rsidRPr="00004C8F">
              <w:rPr>
                <w:rFonts w:cs="Arial"/>
                <w:sz w:val="24"/>
                <w:szCs w:val="24"/>
                <w:cs/>
                <w:lang w:bidi="bn-IN"/>
              </w:rPr>
              <w:t xml:space="preserve"> </w:t>
            </w:r>
            <w:r w:rsidRPr="00004C8F">
              <w:rPr>
                <w:rFonts w:ascii="Nirmala UI" w:hAnsi="Nirmala UI" w:cs="Nirmala UI" w:hint="cs"/>
                <w:sz w:val="24"/>
                <w:szCs w:val="24"/>
                <w:cs/>
                <w:lang w:bidi="bn-IN"/>
              </w:rPr>
              <w:t>করুন।</w:t>
            </w:r>
            <w:r w:rsidRPr="00004C8F">
              <w:rPr>
                <w:rFonts w:cs="Arial"/>
                <w:sz w:val="24"/>
                <w:szCs w:val="24"/>
              </w:rPr>
              <w:br/>
            </w:r>
            <w:r w:rsidRPr="00004C8F">
              <w:rPr>
                <w:rFonts w:cs="Arial"/>
                <w:sz w:val="24"/>
                <w:szCs w:val="24"/>
                <w:rtl/>
                <w:lang w:bidi="ar"/>
              </w:rPr>
              <w:t>هذا هو وثيقة قانونية هامة يرجى لديك شخص تترجم الوثيقة.</w:t>
            </w:r>
          </w:p>
          <w:p w14:paraId="7C70211B" w14:textId="77777777" w:rsidR="009709C9" w:rsidRPr="007A7642" w:rsidRDefault="009709C9" w:rsidP="00E07C27">
            <w:pPr>
              <w:spacing w:after="120" w:line="264" w:lineRule="auto"/>
              <w:ind w:right="106"/>
              <w:jc w:val="center"/>
              <w:rPr>
                <w:color w:val="212121"/>
                <w:lang w:val="pt-PT"/>
              </w:rPr>
            </w:pPr>
            <w:r w:rsidRPr="00004C8F">
              <w:rPr>
                <w:rFonts w:cs="Arial"/>
                <w:color w:val="212121"/>
                <w:sz w:val="24"/>
                <w:szCs w:val="24"/>
                <w:lang w:val="pt-PT"/>
              </w:rPr>
              <w:t>Ito ay isang mahalagang legal na dokumento.  Mangyari lamang na magkaroon ng isang tao isalin ang dokumento.</w:t>
            </w:r>
          </w:p>
        </w:tc>
      </w:tr>
    </w:tbl>
    <w:p w14:paraId="05472DA6" w14:textId="77777777" w:rsidR="00E07C27" w:rsidRDefault="00C635BD" w:rsidP="00FC2660">
      <w:pPr>
        <w:rPr>
          <w:bCs/>
          <w:sz w:val="24"/>
          <w:szCs w:val="24"/>
        </w:rPr>
      </w:pPr>
      <w:r w:rsidRPr="006116E4">
        <w:rPr>
          <w:bCs/>
          <w:sz w:val="24"/>
          <w:szCs w:val="24"/>
        </w:rPr>
        <w:t xml:space="preserve">This hearing is open to the </w:t>
      </w:r>
      <w:r w:rsidR="00E14FB8" w:rsidRPr="006116E4">
        <w:rPr>
          <w:bCs/>
          <w:sz w:val="24"/>
          <w:szCs w:val="24"/>
        </w:rPr>
        <w:t>public,</w:t>
      </w:r>
      <w:r w:rsidRPr="006116E4">
        <w:rPr>
          <w:bCs/>
          <w:sz w:val="24"/>
          <w:szCs w:val="24"/>
        </w:rPr>
        <w:t xml:space="preserve"> and this notice is provided under the Open Meetings Act. Any participant in the hearing or member of the public </w:t>
      </w:r>
      <w:proofErr w:type="gramStart"/>
      <w:r w:rsidRPr="006116E4">
        <w:rPr>
          <w:bCs/>
          <w:sz w:val="24"/>
          <w:szCs w:val="24"/>
        </w:rPr>
        <w:t>wishing</w:t>
      </w:r>
      <w:proofErr w:type="gramEnd"/>
      <w:r w:rsidRPr="006116E4">
        <w:rPr>
          <w:bCs/>
          <w:sz w:val="24"/>
          <w:szCs w:val="24"/>
        </w:rPr>
        <w:t xml:space="preserve"> to attend this hearing </w:t>
      </w:r>
    </w:p>
    <w:p w14:paraId="783A5CA1" w14:textId="77777777" w:rsidR="00E07C27" w:rsidRDefault="00E07C27" w:rsidP="00E07C27">
      <w:pPr>
        <w:rPr>
          <w:bCs/>
          <w:sz w:val="24"/>
          <w:szCs w:val="24"/>
        </w:rPr>
      </w:pPr>
      <w:r w:rsidRPr="006116E4">
        <w:rPr>
          <w:bCs/>
          <w:sz w:val="24"/>
          <w:szCs w:val="24"/>
        </w:rPr>
        <w:t>must click on the link above to gain access to the hearing.</w:t>
      </w:r>
    </w:p>
    <w:p w14:paraId="639659E7" w14:textId="77777777" w:rsidR="00E07C27" w:rsidRDefault="00E07C27" w:rsidP="00FC2660">
      <w:pPr>
        <w:rPr>
          <w:bCs/>
          <w:sz w:val="24"/>
          <w:szCs w:val="24"/>
        </w:rPr>
      </w:pPr>
    </w:p>
    <w:p w14:paraId="5E646656" w14:textId="0B28EFFD" w:rsidR="00FC2660" w:rsidRDefault="00FC2660" w:rsidP="00FC2660">
      <w:pPr>
        <w:rPr>
          <w:sz w:val="24"/>
          <w:szCs w:val="24"/>
        </w:rPr>
      </w:pPr>
      <w:r w:rsidRPr="00FC2660">
        <w:rPr>
          <w:bCs/>
          <w:sz w:val="24"/>
          <w:szCs w:val="24"/>
        </w:rPr>
        <w:lastRenderedPageBreak/>
        <w:t>On</w:t>
      </w:r>
      <w:r w:rsidR="003C205F">
        <w:rPr>
          <w:sz w:val="24"/>
          <w:szCs w:val="24"/>
        </w:rPr>
        <w:t xml:space="preserve"> July 10, 202</w:t>
      </w:r>
      <w:r w:rsidR="00BD7023">
        <w:rPr>
          <w:sz w:val="24"/>
          <w:szCs w:val="24"/>
        </w:rPr>
        <w:t>6</w:t>
      </w:r>
      <w:r w:rsidRPr="00FC2660">
        <w:rPr>
          <w:bCs/>
          <w:sz w:val="24"/>
          <w:szCs w:val="24"/>
        </w:rPr>
        <w:t xml:space="preserve">, </w:t>
      </w:r>
      <w:r w:rsidR="003C205F">
        <w:rPr>
          <w:bCs/>
          <w:sz w:val="24"/>
          <w:szCs w:val="24"/>
        </w:rPr>
        <w:t xml:space="preserve">Petitioner </w:t>
      </w:r>
      <w:r w:rsidR="00A67469">
        <w:rPr>
          <w:bCs/>
          <w:sz w:val="24"/>
          <w:szCs w:val="24"/>
        </w:rPr>
        <w:t xml:space="preserve">contacted the Tribunal telephonically </w:t>
      </w:r>
      <w:proofErr w:type="gramStart"/>
      <w:r w:rsidR="00A67469">
        <w:rPr>
          <w:bCs/>
          <w:sz w:val="24"/>
          <w:szCs w:val="24"/>
        </w:rPr>
        <w:t xml:space="preserve">and </w:t>
      </w:r>
      <w:r w:rsidR="00004C8F">
        <w:rPr>
          <w:bCs/>
          <w:sz w:val="24"/>
          <w:szCs w:val="24"/>
        </w:rPr>
        <w:t>also</w:t>
      </w:r>
      <w:proofErr w:type="gramEnd"/>
      <w:r w:rsidR="00004C8F">
        <w:rPr>
          <w:bCs/>
          <w:sz w:val="24"/>
          <w:szCs w:val="24"/>
        </w:rPr>
        <w:t xml:space="preserve"> </w:t>
      </w:r>
      <w:r w:rsidRPr="00FC2660">
        <w:rPr>
          <w:bCs/>
          <w:sz w:val="24"/>
          <w:szCs w:val="24"/>
        </w:rPr>
        <w:t xml:space="preserve">filed a motion requesting that the Tribunal reconsider the </w:t>
      </w:r>
      <w:r w:rsidR="003C205F">
        <w:rPr>
          <w:bCs/>
          <w:sz w:val="24"/>
          <w:szCs w:val="24"/>
        </w:rPr>
        <w:t>Order</w:t>
      </w:r>
      <w:r w:rsidRPr="00FC2660">
        <w:rPr>
          <w:bCs/>
          <w:sz w:val="24"/>
          <w:szCs w:val="24"/>
        </w:rPr>
        <w:t xml:space="preserve"> entered in t</w:t>
      </w:r>
      <w:r w:rsidR="00134F11">
        <w:rPr>
          <w:bCs/>
          <w:sz w:val="24"/>
          <w:szCs w:val="24"/>
        </w:rPr>
        <w:t xml:space="preserve">his </w:t>
      </w:r>
      <w:r w:rsidRPr="00FC2660">
        <w:rPr>
          <w:bCs/>
          <w:sz w:val="24"/>
          <w:szCs w:val="24"/>
        </w:rPr>
        <w:t xml:space="preserve">case on </w:t>
      </w:r>
      <w:r w:rsidR="003A0CE1">
        <w:rPr>
          <w:sz w:val="24"/>
          <w:szCs w:val="24"/>
        </w:rPr>
        <w:t>July 10, 202</w:t>
      </w:r>
      <w:r w:rsidR="00DF0133">
        <w:rPr>
          <w:sz w:val="24"/>
          <w:szCs w:val="24"/>
        </w:rPr>
        <w:t>6</w:t>
      </w:r>
      <w:r w:rsidRPr="00FC2660">
        <w:rPr>
          <w:bCs/>
          <w:sz w:val="24"/>
          <w:szCs w:val="24"/>
        </w:rPr>
        <w:t xml:space="preserve">.  </w:t>
      </w:r>
      <w:r w:rsidRPr="00FC2660">
        <w:rPr>
          <w:sz w:val="24"/>
          <w:szCs w:val="24"/>
        </w:rPr>
        <w:t xml:space="preserve">In the </w:t>
      </w:r>
      <w:r w:rsidR="007A3AB0">
        <w:rPr>
          <w:sz w:val="24"/>
          <w:szCs w:val="24"/>
        </w:rPr>
        <w:t>m</w:t>
      </w:r>
      <w:r w:rsidRPr="00FC2660">
        <w:rPr>
          <w:sz w:val="24"/>
          <w:szCs w:val="24"/>
        </w:rPr>
        <w:t xml:space="preserve">otion, </w:t>
      </w:r>
      <w:r w:rsidR="003A0CE1">
        <w:rPr>
          <w:sz w:val="24"/>
          <w:szCs w:val="24"/>
        </w:rPr>
        <w:t xml:space="preserve">Petitioner </w:t>
      </w:r>
      <w:r w:rsidRPr="00FC2660">
        <w:rPr>
          <w:sz w:val="24"/>
          <w:szCs w:val="24"/>
        </w:rPr>
        <w:t xml:space="preserve">states </w:t>
      </w:r>
      <w:r w:rsidR="003A0CE1">
        <w:rPr>
          <w:sz w:val="24"/>
          <w:szCs w:val="24"/>
        </w:rPr>
        <w:t>that reconsideration and immediate consideration are warranted.</w:t>
      </w:r>
      <w:r w:rsidR="003009CA">
        <w:rPr>
          <w:sz w:val="24"/>
          <w:szCs w:val="24"/>
        </w:rPr>
        <w:t xml:space="preserve"> </w:t>
      </w:r>
      <w:r w:rsidR="007D4ADE">
        <w:rPr>
          <w:sz w:val="24"/>
          <w:szCs w:val="24"/>
        </w:rPr>
        <w:t xml:space="preserve"> </w:t>
      </w:r>
      <w:r w:rsidR="0042254C" w:rsidRPr="00D81166">
        <w:rPr>
          <w:sz w:val="24"/>
          <w:szCs w:val="24"/>
        </w:rPr>
        <w:t xml:space="preserve">The Tribunal has considered the motions and the case file and finds that the Motion for Immediate Consideration does not include a statement verifying that Petitioner notified Respondent of the filing of the motion and indicating whether Respondent would be filing a response to the motions as required by TTR 231. </w:t>
      </w:r>
      <w:r w:rsidR="00B53B4C">
        <w:rPr>
          <w:sz w:val="24"/>
          <w:szCs w:val="24"/>
        </w:rPr>
        <w:t xml:space="preserve"> </w:t>
      </w:r>
      <w:r w:rsidR="0042254C" w:rsidRPr="00D81166">
        <w:rPr>
          <w:sz w:val="24"/>
          <w:szCs w:val="24"/>
        </w:rPr>
        <w:t>As such, the motion is not properly pending.</w:t>
      </w:r>
      <w:r w:rsidR="00BD7023">
        <w:rPr>
          <w:sz w:val="24"/>
          <w:szCs w:val="24"/>
        </w:rPr>
        <w:t xml:space="preserve">  However,</w:t>
      </w:r>
      <w:r w:rsidR="0042254C" w:rsidRPr="00D81166">
        <w:rPr>
          <w:sz w:val="24"/>
          <w:szCs w:val="24"/>
        </w:rPr>
        <w:t xml:space="preserve"> </w:t>
      </w:r>
      <w:r w:rsidR="00BD7023">
        <w:rPr>
          <w:sz w:val="24"/>
          <w:szCs w:val="24"/>
        </w:rPr>
        <w:t>i</w:t>
      </w:r>
      <w:r w:rsidR="00BD7023" w:rsidRPr="00D81166">
        <w:rPr>
          <w:sz w:val="24"/>
          <w:szCs w:val="24"/>
        </w:rPr>
        <w:t>mmediate</w:t>
      </w:r>
      <w:r w:rsidR="0042254C" w:rsidRPr="00D81166">
        <w:rPr>
          <w:sz w:val="24"/>
          <w:szCs w:val="24"/>
        </w:rPr>
        <w:t xml:space="preserve"> consideration is warranted as the hearing in this matter is schedule</w:t>
      </w:r>
      <w:r w:rsidR="0042254C">
        <w:rPr>
          <w:sz w:val="24"/>
          <w:szCs w:val="24"/>
        </w:rPr>
        <w:t>d</w:t>
      </w:r>
      <w:r w:rsidR="0042254C" w:rsidRPr="00D81166">
        <w:rPr>
          <w:sz w:val="24"/>
          <w:szCs w:val="24"/>
        </w:rPr>
        <w:t xml:space="preserve"> for July 20, 2026.</w:t>
      </w:r>
      <w:r w:rsidR="0042254C">
        <w:rPr>
          <w:sz w:val="24"/>
          <w:szCs w:val="24"/>
        </w:rPr>
        <w:t xml:space="preserve"> </w:t>
      </w:r>
      <w:r w:rsidR="00613A82">
        <w:rPr>
          <w:sz w:val="24"/>
          <w:szCs w:val="24"/>
        </w:rPr>
        <w:t xml:space="preserve"> </w:t>
      </w:r>
      <w:r w:rsidR="00DF0133">
        <w:rPr>
          <w:sz w:val="24"/>
          <w:szCs w:val="24"/>
        </w:rPr>
        <w:t xml:space="preserve">Further, </w:t>
      </w:r>
      <w:r w:rsidR="003009CA">
        <w:rPr>
          <w:sz w:val="24"/>
          <w:szCs w:val="24"/>
        </w:rPr>
        <w:t xml:space="preserve">Petitioner raises </w:t>
      </w:r>
      <w:r w:rsidR="00DF0133">
        <w:rPr>
          <w:sz w:val="24"/>
          <w:szCs w:val="24"/>
        </w:rPr>
        <w:t>seven</w:t>
      </w:r>
      <w:r w:rsidR="003D4CC4">
        <w:rPr>
          <w:sz w:val="24"/>
          <w:szCs w:val="24"/>
        </w:rPr>
        <w:t xml:space="preserve"> issues, which will be considered in turn.</w:t>
      </w:r>
    </w:p>
    <w:p w14:paraId="4BD6EA09" w14:textId="77777777" w:rsidR="003D4CC4" w:rsidRDefault="003D4CC4" w:rsidP="00FC2660">
      <w:pPr>
        <w:rPr>
          <w:sz w:val="24"/>
          <w:szCs w:val="24"/>
        </w:rPr>
      </w:pPr>
    </w:p>
    <w:p w14:paraId="30A58480" w14:textId="4A4C1F8D" w:rsidR="003017D0" w:rsidRDefault="002E040D" w:rsidP="00FC2660">
      <w:pPr>
        <w:rPr>
          <w:sz w:val="24"/>
          <w:szCs w:val="24"/>
        </w:rPr>
      </w:pPr>
      <w:r>
        <w:rPr>
          <w:sz w:val="24"/>
          <w:szCs w:val="24"/>
        </w:rPr>
        <w:t xml:space="preserve">The first and second issues raised by Petitioner challenge the </w:t>
      </w:r>
      <w:r w:rsidR="00563A65">
        <w:rPr>
          <w:sz w:val="24"/>
          <w:szCs w:val="24"/>
        </w:rPr>
        <w:t xml:space="preserve">change in hearing format from in-person to telephonic.  </w:t>
      </w:r>
      <w:r w:rsidR="00BB392E">
        <w:rPr>
          <w:sz w:val="24"/>
          <w:szCs w:val="24"/>
        </w:rPr>
        <w:t xml:space="preserve">In </w:t>
      </w:r>
      <w:r w:rsidR="00563A65">
        <w:rPr>
          <w:sz w:val="24"/>
          <w:szCs w:val="24"/>
        </w:rPr>
        <w:t>Petitioner</w:t>
      </w:r>
      <w:r w:rsidR="00B45E32">
        <w:rPr>
          <w:sz w:val="24"/>
          <w:szCs w:val="24"/>
        </w:rPr>
        <w:t>’s</w:t>
      </w:r>
      <w:r w:rsidR="00BB392E">
        <w:rPr>
          <w:sz w:val="24"/>
          <w:szCs w:val="24"/>
        </w:rPr>
        <w:t xml:space="preserve"> written motion, </w:t>
      </w:r>
      <w:r w:rsidR="00936C65">
        <w:rPr>
          <w:sz w:val="24"/>
          <w:szCs w:val="24"/>
        </w:rPr>
        <w:t>he</w:t>
      </w:r>
      <w:r w:rsidR="00563A65">
        <w:rPr>
          <w:sz w:val="24"/>
          <w:szCs w:val="24"/>
        </w:rPr>
        <w:t xml:space="preserve"> argues that</w:t>
      </w:r>
      <w:r w:rsidR="00BD7023">
        <w:rPr>
          <w:sz w:val="24"/>
          <w:szCs w:val="24"/>
        </w:rPr>
        <w:t xml:space="preserve"> </w:t>
      </w:r>
      <w:r w:rsidR="00563A65">
        <w:rPr>
          <w:sz w:val="24"/>
          <w:szCs w:val="24"/>
        </w:rPr>
        <w:t xml:space="preserve">Respondent’s motion for change in format was untimely, that the Tribunal did not find that there was a threat that warranted </w:t>
      </w:r>
      <w:r w:rsidR="007E0927">
        <w:rPr>
          <w:sz w:val="24"/>
          <w:szCs w:val="24"/>
        </w:rPr>
        <w:t xml:space="preserve">a change in format, </w:t>
      </w:r>
      <w:r w:rsidR="00B45E32">
        <w:rPr>
          <w:sz w:val="24"/>
          <w:szCs w:val="24"/>
        </w:rPr>
        <w:t xml:space="preserve">and </w:t>
      </w:r>
      <w:r w:rsidR="007E0927">
        <w:rPr>
          <w:sz w:val="24"/>
          <w:szCs w:val="24"/>
        </w:rPr>
        <w:t>that Petitioner has a hearing impairment</w:t>
      </w:r>
      <w:r w:rsidR="00063732">
        <w:rPr>
          <w:sz w:val="24"/>
          <w:szCs w:val="24"/>
        </w:rPr>
        <w:t xml:space="preserve"> that materially interferes with the telephone hearing format.</w:t>
      </w:r>
      <w:r w:rsidR="00BF3E99">
        <w:rPr>
          <w:sz w:val="24"/>
          <w:szCs w:val="24"/>
        </w:rPr>
        <w:t xml:space="preserve">  Last, Petitioner cites TTR 285(4) and </w:t>
      </w:r>
      <w:r w:rsidR="00561A03">
        <w:rPr>
          <w:sz w:val="24"/>
          <w:szCs w:val="24"/>
        </w:rPr>
        <w:t>Title II of the Americans with Disabilities Act that control accommodation</w:t>
      </w:r>
      <w:r w:rsidR="00A67469">
        <w:rPr>
          <w:sz w:val="24"/>
          <w:szCs w:val="24"/>
        </w:rPr>
        <w:t>.</w:t>
      </w:r>
      <w:r w:rsidR="00936C65">
        <w:rPr>
          <w:sz w:val="24"/>
          <w:szCs w:val="24"/>
        </w:rPr>
        <w:t xml:space="preserve">  </w:t>
      </w:r>
      <w:r w:rsidR="00133132">
        <w:rPr>
          <w:sz w:val="24"/>
          <w:szCs w:val="24"/>
        </w:rPr>
        <w:t xml:space="preserve">In his </w:t>
      </w:r>
      <w:r w:rsidR="00E02272">
        <w:rPr>
          <w:sz w:val="24"/>
          <w:szCs w:val="24"/>
        </w:rPr>
        <w:t xml:space="preserve">verbal </w:t>
      </w:r>
      <w:r w:rsidR="00133132">
        <w:rPr>
          <w:sz w:val="24"/>
          <w:szCs w:val="24"/>
        </w:rPr>
        <w:t xml:space="preserve">request to the Tribunal, Petitioner requested </w:t>
      </w:r>
      <w:r w:rsidR="00BD7023">
        <w:rPr>
          <w:sz w:val="24"/>
          <w:szCs w:val="24"/>
        </w:rPr>
        <w:t>that the hearing be held</w:t>
      </w:r>
      <w:r w:rsidR="00133132">
        <w:rPr>
          <w:sz w:val="24"/>
          <w:szCs w:val="24"/>
        </w:rPr>
        <w:t xml:space="preserve"> in-person or </w:t>
      </w:r>
      <w:r w:rsidR="00BD7023">
        <w:rPr>
          <w:sz w:val="24"/>
          <w:szCs w:val="24"/>
        </w:rPr>
        <w:t xml:space="preserve">by </w:t>
      </w:r>
      <w:r w:rsidR="00133132">
        <w:rPr>
          <w:sz w:val="24"/>
          <w:szCs w:val="24"/>
        </w:rPr>
        <w:t xml:space="preserve">video because he needs to read lips to understand what is being said.  </w:t>
      </w:r>
      <w:r w:rsidR="00BD7023">
        <w:rPr>
          <w:sz w:val="24"/>
          <w:szCs w:val="24"/>
        </w:rPr>
        <w:t>Even though Petitioner effectively communicated with the Tribunal’s representative during the telephonic contact Petitioner initiated on July 10, 2026, t</w:t>
      </w:r>
      <w:r w:rsidR="003B63DB">
        <w:rPr>
          <w:sz w:val="24"/>
          <w:szCs w:val="24"/>
        </w:rPr>
        <w:t xml:space="preserve">he Tribunal finds </w:t>
      </w:r>
      <w:r w:rsidR="00BD7023">
        <w:rPr>
          <w:sz w:val="24"/>
          <w:szCs w:val="24"/>
        </w:rPr>
        <w:t>good cause to grant Petitioner’s request for a video hearing</w:t>
      </w:r>
      <w:r w:rsidR="005F06F9">
        <w:rPr>
          <w:sz w:val="24"/>
          <w:szCs w:val="24"/>
        </w:rPr>
        <w:t>.</w:t>
      </w:r>
    </w:p>
    <w:p w14:paraId="17EDCBED" w14:textId="77777777" w:rsidR="003017D0" w:rsidRDefault="003017D0" w:rsidP="00FC2660">
      <w:pPr>
        <w:rPr>
          <w:sz w:val="24"/>
          <w:szCs w:val="24"/>
        </w:rPr>
      </w:pPr>
    </w:p>
    <w:p w14:paraId="6C516EDA" w14:textId="6D000BE2" w:rsidR="00E448F4" w:rsidRDefault="005F06F9" w:rsidP="00FC2660">
      <w:pPr>
        <w:rPr>
          <w:sz w:val="24"/>
          <w:szCs w:val="24"/>
        </w:rPr>
      </w:pPr>
      <w:r>
        <w:rPr>
          <w:sz w:val="24"/>
          <w:szCs w:val="24"/>
        </w:rPr>
        <w:t>However, o</w:t>
      </w:r>
      <w:r w:rsidR="009B32B3">
        <w:rPr>
          <w:sz w:val="24"/>
          <w:szCs w:val="24"/>
        </w:rPr>
        <w:t xml:space="preserve">n balance was Respondent’s </w:t>
      </w:r>
      <w:r w:rsidR="0019446A">
        <w:rPr>
          <w:sz w:val="24"/>
          <w:szCs w:val="24"/>
        </w:rPr>
        <w:t xml:space="preserve">original request based on threatening </w:t>
      </w:r>
      <w:r w:rsidR="00EC496B">
        <w:rPr>
          <w:sz w:val="24"/>
          <w:szCs w:val="24"/>
        </w:rPr>
        <w:t xml:space="preserve">and violent email and </w:t>
      </w:r>
      <w:r w:rsidR="003017D0">
        <w:rPr>
          <w:sz w:val="24"/>
          <w:szCs w:val="24"/>
        </w:rPr>
        <w:t>voicemail messages</w:t>
      </w:r>
      <w:r w:rsidR="0019446A">
        <w:rPr>
          <w:sz w:val="24"/>
          <w:szCs w:val="24"/>
        </w:rPr>
        <w:t xml:space="preserve"> Petitioner </w:t>
      </w:r>
      <w:r w:rsidR="003017D0">
        <w:rPr>
          <w:sz w:val="24"/>
          <w:szCs w:val="24"/>
        </w:rPr>
        <w:t xml:space="preserve">made </w:t>
      </w:r>
      <w:r w:rsidR="0019446A">
        <w:rPr>
          <w:sz w:val="24"/>
          <w:szCs w:val="24"/>
        </w:rPr>
        <w:t>to Respondent’s counsel</w:t>
      </w:r>
      <w:r w:rsidR="003017D0">
        <w:rPr>
          <w:sz w:val="24"/>
          <w:szCs w:val="24"/>
        </w:rPr>
        <w:t xml:space="preserve">.  Petitioner </w:t>
      </w:r>
      <w:r w:rsidR="00D04011">
        <w:rPr>
          <w:sz w:val="24"/>
          <w:szCs w:val="24"/>
        </w:rPr>
        <w:t xml:space="preserve">argues in their motion that </w:t>
      </w:r>
      <w:r w:rsidR="007448C7">
        <w:rPr>
          <w:sz w:val="24"/>
          <w:szCs w:val="24"/>
        </w:rPr>
        <w:t>“</w:t>
      </w:r>
      <w:r w:rsidR="00D922B1">
        <w:rPr>
          <w:sz w:val="24"/>
          <w:szCs w:val="24"/>
        </w:rPr>
        <w:t>[t]</w:t>
      </w:r>
      <w:r w:rsidR="00D922B1" w:rsidRPr="00D922B1">
        <w:rPr>
          <w:sz w:val="24"/>
          <w:szCs w:val="24"/>
        </w:rPr>
        <w:t>he orders do not find that Petitioner made a credible threat of physical harm, that courtroom security measures would be inadequate, or that Petitioner previously disrupted a Tribunal hearing.</w:t>
      </w:r>
      <w:r w:rsidR="00D922B1">
        <w:rPr>
          <w:sz w:val="24"/>
          <w:szCs w:val="24"/>
        </w:rPr>
        <w:t>”</w:t>
      </w:r>
      <w:r w:rsidR="00D922B1">
        <w:rPr>
          <w:rStyle w:val="FootnoteReference"/>
          <w:sz w:val="24"/>
          <w:szCs w:val="24"/>
        </w:rPr>
        <w:footnoteReference w:id="1"/>
      </w:r>
      <w:r w:rsidR="00D922B1">
        <w:rPr>
          <w:sz w:val="24"/>
          <w:szCs w:val="24"/>
        </w:rPr>
        <w:t xml:space="preserve">  </w:t>
      </w:r>
      <w:r w:rsidR="00E443E4">
        <w:rPr>
          <w:sz w:val="24"/>
          <w:szCs w:val="24"/>
        </w:rPr>
        <w:t>The Tribunal has reviewed the allegations made by Respondent’s Counsel and Petitioner’s acknowledgment of those statements in his July 7, 2026 response</w:t>
      </w:r>
      <w:r w:rsidR="005968E8">
        <w:rPr>
          <w:sz w:val="24"/>
          <w:szCs w:val="24"/>
        </w:rPr>
        <w:t>,</w:t>
      </w:r>
      <w:r w:rsidR="00E443E4">
        <w:rPr>
          <w:sz w:val="24"/>
          <w:szCs w:val="24"/>
        </w:rPr>
        <w:t xml:space="preserve"> and finds that Petitioner’s statements would cause a reasonable person to feel threatened and fear for their safety.</w:t>
      </w:r>
      <w:r w:rsidR="009D7B90">
        <w:rPr>
          <w:sz w:val="24"/>
          <w:szCs w:val="24"/>
        </w:rPr>
        <w:t xml:space="preserve"> </w:t>
      </w:r>
      <w:r w:rsidR="00B8033A">
        <w:rPr>
          <w:sz w:val="24"/>
          <w:szCs w:val="24"/>
        </w:rPr>
        <w:t xml:space="preserve"> </w:t>
      </w:r>
      <w:proofErr w:type="gramStart"/>
      <w:r w:rsidR="00B8033A">
        <w:rPr>
          <w:sz w:val="24"/>
          <w:szCs w:val="24"/>
        </w:rPr>
        <w:t>Petitioner’s</w:t>
      </w:r>
      <w:proofErr w:type="gramEnd"/>
      <w:r w:rsidR="00B8033A">
        <w:rPr>
          <w:sz w:val="24"/>
          <w:szCs w:val="24"/>
        </w:rPr>
        <w:t xml:space="preserve"> communications </w:t>
      </w:r>
      <w:r w:rsidR="00455E21">
        <w:rPr>
          <w:sz w:val="24"/>
          <w:szCs w:val="24"/>
        </w:rPr>
        <w:t xml:space="preserve">support </w:t>
      </w:r>
      <w:proofErr w:type="gramStart"/>
      <w:r w:rsidR="00455E21">
        <w:rPr>
          <w:sz w:val="24"/>
          <w:szCs w:val="24"/>
        </w:rPr>
        <w:t>a remote</w:t>
      </w:r>
      <w:proofErr w:type="gramEnd"/>
      <w:r w:rsidR="00455E21">
        <w:rPr>
          <w:sz w:val="24"/>
          <w:szCs w:val="24"/>
        </w:rPr>
        <w:t xml:space="preserve"> hearing.</w:t>
      </w:r>
      <w:r w:rsidR="00947E6F">
        <w:rPr>
          <w:sz w:val="24"/>
          <w:szCs w:val="24"/>
        </w:rPr>
        <w:t xml:space="preserve">  </w:t>
      </w:r>
    </w:p>
    <w:p w14:paraId="39BFEE58" w14:textId="77777777" w:rsidR="005F10AF" w:rsidRDefault="005F10AF" w:rsidP="00FC2660">
      <w:pPr>
        <w:rPr>
          <w:sz w:val="24"/>
          <w:szCs w:val="24"/>
        </w:rPr>
      </w:pPr>
    </w:p>
    <w:p w14:paraId="6B3CD271" w14:textId="785A56A9" w:rsidR="005F10AF" w:rsidRDefault="005F10AF" w:rsidP="00FC2660">
      <w:pPr>
        <w:rPr>
          <w:sz w:val="24"/>
          <w:szCs w:val="24"/>
        </w:rPr>
      </w:pPr>
      <w:r>
        <w:rPr>
          <w:sz w:val="24"/>
          <w:szCs w:val="24"/>
        </w:rPr>
        <w:t>Next, Petitioner argues that</w:t>
      </w:r>
      <w:r w:rsidR="00001EA8">
        <w:rPr>
          <w:sz w:val="24"/>
          <w:szCs w:val="24"/>
        </w:rPr>
        <w:t xml:space="preserve"> granting Respondent’s motion for </w:t>
      </w:r>
      <w:r w:rsidR="00B53B4C">
        <w:rPr>
          <w:sz w:val="24"/>
          <w:szCs w:val="24"/>
        </w:rPr>
        <w:t xml:space="preserve">a </w:t>
      </w:r>
      <w:r w:rsidR="00001EA8">
        <w:rPr>
          <w:sz w:val="24"/>
          <w:szCs w:val="24"/>
        </w:rPr>
        <w:t xml:space="preserve">telephonic hearing was untimely because it was </w:t>
      </w:r>
      <w:r w:rsidR="009434B1">
        <w:rPr>
          <w:sz w:val="24"/>
          <w:szCs w:val="24"/>
        </w:rPr>
        <w:t xml:space="preserve">filed and served </w:t>
      </w:r>
      <w:r w:rsidR="00B10B11">
        <w:rPr>
          <w:sz w:val="24"/>
          <w:szCs w:val="24"/>
        </w:rPr>
        <w:t xml:space="preserve">less than </w:t>
      </w:r>
      <w:r w:rsidR="009434B1">
        <w:rPr>
          <w:sz w:val="24"/>
          <w:szCs w:val="24"/>
        </w:rPr>
        <w:t>28 days before the</w:t>
      </w:r>
      <w:r w:rsidR="00B10B11">
        <w:rPr>
          <w:sz w:val="24"/>
          <w:szCs w:val="24"/>
        </w:rPr>
        <w:t xml:space="preserve"> scheduled</w:t>
      </w:r>
      <w:r w:rsidR="009434B1">
        <w:rPr>
          <w:sz w:val="24"/>
          <w:szCs w:val="24"/>
        </w:rPr>
        <w:t xml:space="preserve"> hearing.  However, this argument </w:t>
      </w:r>
      <w:r w:rsidR="00B10B11">
        <w:rPr>
          <w:sz w:val="24"/>
          <w:szCs w:val="24"/>
        </w:rPr>
        <w:t>is</w:t>
      </w:r>
      <w:r w:rsidR="009434B1">
        <w:rPr>
          <w:sz w:val="24"/>
          <w:szCs w:val="24"/>
        </w:rPr>
        <w:t xml:space="preserve"> </w:t>
      </w:r>
      <w:proofErr w:type="gramStart"/>
      <w:r w:rsidR="009434B1">
        <w:rPr>
          <w:sz w:val="24"/>
          <w:szCs w:val="24"/>
        </w:rPr>
        <w:t>moot</w:t>
      </w:r>
      <w:proofErr w:type="gramEnd"/>
      <w:r w:rsidR="009434B1">
        <w:rPr>
          <w:sz w:val="24"/>
          <w:szCs w:val="24"/>
        </w:rPr>
        <w:t xml:space="preserve"> </w:t>
      </w:r>
      <w:r w:rsidR="00B10B11">
        <w:rPr>
          <w:sz w:val="24"/>
          <w:szCs w:val="24"/>
        </w:rPr>
        <w:t>because</w:t>
      </w:r>
      <w:r w:rsidR="009434B1">
        <w:rPr>
          <w:sz w:val="24"/>
          <w:szCs w:val="24"/>
        </w:rPr>
        <w:t xml:space="preserve"> the hearing will be held</w:t>
      </w:r>
      <w:r w:rsidR="00AE43BB">
        <w:rPr>
          <w:sz w:val="24"/>
          <w:szCs w:val="24"/>
        </w:rPr>
        <w:t xml:space="preserve"> via video conference as </w:t>
      </w:r>
      <w:r w:rsidR="00E02272">
        <w:rPr>
          <w:sz w:val="24"/>
          <w:szCs w:val="24"/>
        </w:rPr>
        <w:t xml:space="preserve">verbally </w:t>
      </w:r>
      <w:r w:rsidR="00AE43BB">
        <w:rPr>
          <w:sz w:val="24"/>
          <w:szCs w:val="24"/>
        </w:rPr>
        <w:t xml:space="preserve">requested by Petitioner and by motion </w:t>
      </w:r>
      <w:r w:rsidR="004B73FC">
        <w:rPr>
          <w:sz w:val="24"/>
          <w:szCs w:val="24"/>
        </w:rPr>
        <w:t>no less</w:t>
      </w:r>
      <w:r w:rsidR="00AE43BB">
        <w:rPr>
          <w:sz w:val="24"/>
          <w:szCs w:val="24"/>
        </w:rPr>
        <w:t xml:space="preserve"> than seven days before the hearing</w:t>
      </w:r>
      <w:r w:rsidR="005A23DC">
        <w:rPr>
          <w:sz w:val="24"/>
          <w:szCs w:val="24"/>
        </w:rPr>
        <w:t>, which complies with</w:t>
      </w:r>
      <w:r w:rsidR="00AE43BB">
        <w:rPr>
          <w:sz w:val="24"/>
          <w:szCs w:val="24"/>
        </w:rPr>
        <w:t xml:space="preserve"> </w:t>
      </w:r>
      <w:r w:rsidR="00B10B11">
        <w:rPr>
          <w:sz w:val="24"/>
          <w:szCs w:val="24"/>
        </w:rPr>
        <w:t>TTR 285(4).</w:t>
      </w:r>
    </w:p>
    <w:p w14:paraId="7A035B14" w14:textId="77777777" w:rsidR="002C7868" w:rsidRDefault="002C7868" w:rsidP="00FC2660">
      <w:pPr>
        <w:rPr>
          <w:sz w:val="24"/>
          <w:szCs w:val="24"/>
        </w:rPr>
      </w:pPr>
    </w:p>
    <w:p w14:paraId="7ADF7200" w14:textId="216D2A8B" w:rsidR="002C7868" w:rsidRDefault="002C7868" w:rsidP="002C7868">
      <w:pPr>
        <w:rPr>
          <w:iCs/>
          <w:sz w:val="24"/>
          <w:szCs w:val="24"/>
        </w:rPr>
      </w:pPr>
      <w:r>
        <w:rPr>
          <w:iCs/>
          <w:sz w:val="24"/>
          <w:szCs w:val="24"/>
        </w:rPr>
        <w:t>Next, Petitioner’s arguments regarding subpoenas</w:t>
      </w:r>
      <w:r w:rsidR="00FD1C3A">
        <w:rPr>
          <w:iCs/>
          <w:sz w:val="24"/>
          <w:szCs w:val="24"/>
        </w:rPr>
        <w:t xml:space="preserve"> </w:t>
      </w:r>
      <w:r w:rsidR="00EF1261">
        <w:rPr>
          <w:iCs/>
          <w:sz w:val="24"/>
          <w:szCs w:val="24"/>
        </w:rPr>
        <w:t>are</w:t>
      </w:r>
      <w:r w:rsidRPr="00100A72">
        <w:rPr>
          <w:iCs/>
          <w:sz w:val="24"/>
          <w:szCs w:val="24"/>
        </w:rPr>
        <w:t xml:space="preserve"> </w:t>
      </w:r>
      <w:r>
        <w:rPr>
          <w:iCs/>
          <w:sz w:val="24"/>
          <w:szCs w:val="24"/>
        </w:rPr>
        <w:t>not persuasive</w:t>
      </w:r>
      <w:r w:rsidRPr="00100A72">
        <w:rPr>
          <w:iCs/>
          <w:sz w:val="24"/>
          <w:szCs w:val="24"/>
        </w:rPr>
        <w:t xml:space="preserve">.  </w:t>
      </w:r>
      <w:r>
        <w:rPr>
          <w:iCs/>
          <w:sz w:val="24"/>
          <w:szCs w:val="24"/>
        </w:rPr>
        <w:t xml:space="preserve">First, the documents requested in the subpoena requests are public documents that can be acquired under the Freedom of Information </w:t>
      </w:r>
      <w:r w:rsidR="00697445">
        <w:rPr>
          <w:iCs/>
          <w:sz w:val="24"/>
          <w:szCs w:val="24"/>
        </w:rPr>
        <w:t>Act and</w:t>
      </w:r>
      <w:r>
        <w:rPr>
          <w:iCs/>
          <w:sz w:val="24"/>
          <w:szCs w:val="24"/>
        </w:rPr>
        <w:t xml:space="preserve"> therefore </w:t>
      </w:r>
      <w:r w:rsidR="00B45E32">
        <w:rPr>
          <w:iCs/>
          <w:sz w:val="24"/>
          <w:szCs w:val="24"/>
        </w:rPr>
        <w:t xml:space="preserve">are </w:t>
      </w:r>
      <w:r>
        <w:rPr>
          <w:iCs/>
          <w:sz w:val="24"/>
          <w:szCs w:val="24"/>
        </w:rPr>
        <w:t xml:space="preserve">not subject to subpoena.  </w:t>
      </w:r>
      <w:r w:rsidR="005968E8">
        <w:rPr>
          <w:iCs/>
          <w:sz w:val="24"/>
          <w:szCs w:val="24"/>
        </w:rPr>
        <w:t>Further, d</w:t>
      </w:r>
      <w:r w:rsidR="00EE42BE" w:rsidRPr="00EE42BE">
        <w:rPr>
          <w:iCs/>
          <w:sz w:val="24"/>
          <w:szCs w:val="24"/>
        </w:rPr>
        <w:t>iscovery in the Small Claims Division is by leave only.</w:t>
      </w:r>
      <w:r w:rsidR="00490088">
        <w:rPr>
          <w:rStyle w:val="FootnoteReference"/>
          <w:iCs/>
          <w:sz w:val="24"/>
          <w:szCs w:val="24"/>
        </w:rPr>
        <w:footnoteReference w:id="2"/>
      </w:r>
      <w:r w:rsidR="00EE42BE" w:rsidRPr="00EE42BE">
        <w:rPr>
          <w:iCs/>
          <w:sz w:val="24"/>
          <w:szCs w:val="24"/>
        </w:rPr>
        <w:t xml:space="preserve"> </w:t>
      </w:r>
      <w:r w:rsidR="00490088">
        <w:rPr>
          <w:iCs/>
          <w:sz w:val="24"/>
          <w:szCs w:val="24"/>
        </w:rPr>
        <w:t xml:space="preserve"> </w:t>
      </w:r>
      <w:r w:rsidR="00B53B4C">
        <w:rPr>
          <w:iCs/>
          <w:sz w:val="24"/>
          <w:szCs w:val="24"/>
        </w:rPr>
        <w:t>Second, g</w:t>
      </w:r>
      <w:r w:rsidR="00EE42BE" w:rsidRPr="00EE42BE">
        <w:rPr>
          <w:iCs/>
          <w:sz w:val="24"/>
          <w:szCs w:val="24"/>
        </w:rPr>
        <w:t xml:space="preserve">iven the facts and circumstances presented, the Tribunal finds that the requested </w:t>
      </w:r>
      <w:r w:rsidR="00EE42BE" w:rsidRPr="00EE42BE">
        <w:rPr>
          <w:iCs/>
          <w:sz w:val="24"/>
          <w:szCs w:val="24"/>
        </w:rPr>
        <w:lastRenderedPageBreak/>
        <w:t xml:space="preserve">information, while potentially relevant, is not likely to facilitate a resolution in this matter based on the </w:t>
      </w:r>
      <w:r w:rsidR="00B53B4C">
        <w:rPr>
          <w:iCs/>
          <w:sz w:val="24"/>
          <w:szCs w:val="24"/>
        </w:rPr>
        <w:t xml:space="preserve">evidence </w:t>
      </w:r>
      <w:r w:rsidR="00EE42BE" w:rsidRPr="00EE42BE">
        <w:rPr>
          <w:iCs/>
          <w:sz w:val="24"/>
          <w:szCs w:val="24"/>
        </w:rPr>
        <w:t xml:space="preserve">already provided by both parties in advance of the hearing and the Tribunal’s </w:t>
      </w:r>
      <w:r w:rsidR="00EE42BE" w:rsidRPr="00697445">
        <w:rPr>
          <w:i/>
          <w:sz w:val="24"/>
          <w:szCs w:val="24"/>
        </w:rPr>
        <w:t>de novo</w:t>
      </w:r>
      <w:r w:rsidR="00EE42BE" w:rsidRPr="00EE42BE">
        <w:rPr>
          <w:iCs/>
          <w:sz w:val="24"/>
          <w:szCs w:val="24"/>
        </w:rPr>
        <w:t xml:space="preserve"> review of the denial at issue in this matter.</w:t>
      </w:r>
      <w:r w:rsidR="00B53B4C">
        <w:rPr>
          <w:rStyle w:val="FootnoteReference"/>
          <w:iCs/>
          <w:sz w:val="24"/>
          <w:szCs w:val="24"/>
        </w:rPr>
        <w:footnoteReference w:id="3"/>
      </w:r>
      <w:r>
        <w:rPr>
          <w:iCs/>
          <w:sz w:val="24"/>
          <w:szCs w:val="24"/>
        </w:rPr>
        <w:t xml:space="preserve"> </w:t>
      </w:r>
      <w:r w:rsidR="00B53B4C">
        <w:rPr>
          <w:iCs/>
          <w:sz w:val="24"/>
          <w:szCs w:val="24"/>
        </w:rPr>
        <w:t xml:space="preserve"> </w:t>
      </w:r>
      <w:r>
        <w:rPr>
          <w:iCs/>
          <w:sz w:val="24"/>
          <w:szCs w:val="24"/>
        </w:rPr>
        <w:t xml:space="preserve">Third, the Tax Tribunal Rules involving subpoenas and witnesses are part the of Entire Tribunal procedures and </w:t>
      </w:r>
      <w:r w:rsidR="00B53B4C">
        <w:rPr>
          <w:iCs/>
          <w:sz w:val="24"/>
          <w:szCs w:val="24"/>
        </w:rPr>
        <w:t xml:space="preserve">do </w:t>
      </w:r>
      <w:r>
        <w:rPr>
          <w:iCs/>
          <w:sz w:val="24"/>
          <w:szCs w:val="24"/>
        </w:rPr>
        <w:t xml:space="preserve">not </w:t>
      </w:r>
      <w:r w:rsidR="00B53B4C">
        <w:rPr>
          <w:iCs/>
          <w:sz w:val="24"/>
          <w:szCs w:val="24"/>
        </w:rPr>
        <w:t xml:space="preserve">necessarily apply to proceedings in the </w:t>
      </w:r>
      <w:r>
        <w:rPr>
          <w:iCs/>
          <w:sz w:val="24"/>
          <w:szCs w:val="24"/>
        </w:rPr>
        <w:t>Small Claims</w:t>
      </w:r>
      <w:r w:rsidR="00B53B4C">
        <w:rPr>
          <w:iCs/>
          <w:sz w:val="24"/>
          <w:szCs w:val="24"/>
        </w:rPr>
        <w:t xml:space="preserve"> Division</w:t>
      </w:r>
      <w:r>
        <w:rPr>
          <w:iCs/>
          <w:sz w:val="24"/>
          <w:szCs w:val="24"/>
        </w:rPr>
        <w:t xml:space="preserve">.  </w:t>
      </w:r>
      <w:r w:rsidR="008B1ED9">
        <w:rPr>
          <w:iCs/>
          <w:sz w:val="24"/>
          <w:szCs w:val="24"/>
        </w:rPr>
        <w:t>Therefore, Petitioner is not entitled to request subpoenas.</w:t>
      </w:r>
    </w:p>
    <w:p w14:paraId="18718FC1" w14:textId="77777777" w:rsidR="00FD1C3A" w:rsidRDefault="00FD1C3A" w:rsidP="002C7868">
      <w:pPr>
        <w:rPr>
          <w:iCs/>
          <w:sz w:val="24"/>
          <w:szCs w:val="24"/>
        </w:rPr>
      </w:pPr>
    </w:p>
    <w:p w14:paraId="0704246D" w14:textId="2C8CEFDB" w:rsidR="00EE5DE0" w:rsidRDefault="00EE5DE0" w:rsidP="00FC2660">
      <w:pPr>
        <w:rPr>
          <w:iCs/>
          <w:sz w:val="24"/>
          <w:szCs w:val="24"/>
        </w:rPr>
      </w:pPr>
      <w:r>
        <w:rPr>
          <w:iCs/>
          <w:sz w:val="24"/>
          <w:szCs w:val="24"/>
        </w:rPr>
        <w:t xml:space="preserve">Next, Petitioner argues that they are entitled to cross-examination of witnesses pursuant to </w:t>
      </w:r>
      <w:r w:rsidRPr="00FD1C3A">
        <w:rPr>
          <w:iCs/>
          <w:sz w:val="24"/>
          <w:szCs w:val="24"/>
        </w:rPr>
        <w:t>MCL 24.272(4)</w:t>
      </w:r>
      <w:r>
        <w:rPr>
          <w:iCs/>
          <w:sz w:val="24"/>
          <w:szCs w:val="24"/>
        </w:rPr>
        <w:t xml:space="preserve">.  </w:t>
      </w:r>
      <w:proofErr w:type="gramStart"/>
      <w:r>
        <w:rPr>
          <w:iCs/>
          <w:sz w:val="24"/>
          <w:szCs w:val="24"/>
        </w:rPr>
        <w:t>Petitioner’s</w:t>
      </w:r>
      <w:proofErr w:type="gramEnd"/>
      <w:r>
        <w:rPr>
          <w:iCs/>
          <w:sz w:val="24"/>
          <w:szCs w:val="24"/>
        </w:rPr>
        <w:t xml:space="preserve"> </w:t>
      </w:r>
      <w:proofErr w:type="gramStart"/>
      <w:r>
        <w:rPr>
          <w:iCs/>
          <w:sz w:val="24"/>
          <w:szCs w:val="24"/>
        </w:rPr>
        <w:t>argument is</w:t>
      </w:r>
      <w:proofErr w:type="gramEnd"/>
      <w:r>
        <w:rPr>
          <w:iCs/>
          <w:sz w:val="24"/>
          <w:szCs w:val="24"/>
        </w:rPr>
        <w:t xml:space="preserve"> persuasive.</w:t>
      </w:r>
      <w:r w:rsidR="00FE27FC">
        <w:rPr>
          <w:iCs/>
          <w:sz w:val="24"/>
          <w:szCs w:val="24"/>
        </w:rPr>
        <w:t xml:space="preserve">  </w:t>
      </w:r>
      <w:r>
        <w:rPr>
          <w:iCs/>
          <w:sz w:val="24"/>
          <w:szCs w:val="24"/>
        </w:rPr>
        <w:t xml:space="preserve">While subpoenas requiring the presence of individuals and the production of documents are not permitted in the Small Claims Division, the Tribunal acknowledges that both parties are </w:t>
      </w:r>
      <w:r w:rsidR="00FE27FC">
        <w:rPr>
          <w:iCs/>
          <w:sz w:val="24"/>
          <w:szCs w:val="24"/>
        </w:rPr>
        <w:t xml:space="preserve">not required </w:t>
      </w:r>
      <w:r w:rsidR="00FF7042">
        <w:rPr>
          <w:iCs/>
          <w:sz w:val="24"/>
          <w:szCs w:val="24"/>
        </w:rPr>
        <w:t>but</w:t>
      </w:r>
      <w:r w:rsidR="00FE27FC">
        <w:rPr>
          <w:iCs/>
          <w:sz w:val="24"/>
          <w:szCs w:val="24"/>
        </w:rPr>
        <w:t xml:space="preserve"> are </w:t>
      </w:r>
      <w:r>
        <w:rPr>
          <w:iCs/>
          <w:sz w:val="24"/>
          <w:szCs w:val="24"/>
        </w:rPr>
        <w:t>permitted</w:t>
      </w:r>
      <w:r w:rsidR="009C4060">
        <w:rPr>
          <w:iCs/>
          <w:sz w:val="24"/>
          <w:szCs w:val="24"/>
        </w:rPr>
        <w:t xml:space="preserve"> </w:t>
      </w:r>
      <w:r>
        <w:rPr>
          <w:iCs/>
          <w:sz w:val="24"/>
          <w:szCs w:val="24"/>
        </w:rPr>
        <w:t xml:space="preserve">to bring any </w:t>
      </w:r>
      <w:r w:rsidR="009C4060" w:rsidRPr="00FF7042">
        <w:rPr>
          <w:iCs/>
          <w:sz w:val="24"/>
          <w:szCs w:val="24"/>
        </w:rPr>
        <w:t>willing</w:t>
      </w:r>
      <w:r w:rsidR="009C4060">
        <w:rPr>
          <w:iCs/>
          <w:sz w:val="24"/>
          <w:szCs w:val="24"/>
        </w:rPr>
        <w:t xml:space="preserve"> </w:t>
      </w:r>
      <w:r>
        <w:rPr>
          <w:iCs/>
          <w:sz w:val="24"/>
          <w:szCs w:val="24"/>
        </w:rPr>
        <w:t xml:space="preserve">witnesses to the hearing to testify in support of their respective cases without prior notice to the Tribunal or the opposing party.  </w:t>
      </w:r>
      <w:r w:rsidR="009C4060">
        <w:rPr>
          <w:iCs/>
          <w:sz w:val="24"/>
          <w:szCs w:val="24"/>
        </w:rPr>
        <w:t xml:space="preserve">For example, Petitioner’s wife or an individual from Respondent’s assessing department could willingly appear </w:t>
      </w:r>
      <w:r w:rsidR="00E6366D">
        <w:rPr>
          <w:iCs/>
          <w:sz w:val="24"/>
          <w:szCs w:val="24"/>
        </w:rPr>
        <w:t xml:space="preserve">to testify </w:t>
      </w:r>
      <w:r w:rsidR="009C4060">
        <w:rPr>
          <w:iCs/>
          <w:sz w:val="24"/>
          <w:szCs w:val="24"/>
        </w:rPr>
        <w:t xml:space="preserve">on behalf of </w:t>
      </w:r>
      <w:r w:rsidR="00E6366D">
        <w:rPr>
          <w:iCs/>
          <w:sz w:val="24"/>
          <w:szCs w:val="24"/>
        </w:rPr>
        <w:t>that</w:t>
      </w:r>
      <w:r w:rsidR="009C4060">
        <w:rPr>
          <w:iCs/>
          <w:sz w:val="24"/>
          <w:szCs w:val="24"/>
        </w:rPr>
        <w:t xml:space="preserve"> party to provide testimony</w:t>
      </w:r>
      <w:r w:rsidR="00E6366D">
        <w:rPr>
          <w:iCs/>
          <w:sz w:val="24"/>
          <w:szCs w:val="24"/>
        </w:rPr>
        <w:t xml:space="preserve"> without the necessity of a subpoena</w:t>
      </w:r>
      <w:r w:rsidR="009C4060">
        <w:rPr>
          <w:iCs/>
          <w:sz w:val="24"/>
          <w:szCs w:val="24"/>
        </w:rPr>
        <w:t xml:space="preserve">.  </w:t>
      </w:r>
      <w:r>
        <w:rPr>
          <w:iCs/>
          <w:sz w:val="24"/>
          <w:szCs w:val="24"/>
        </w:rPr>
        <w:t xml:space="preserve">The parties </w:t>
      </w:r>
      <w:r w:rsidR="00E6366D">
        <w:rPr>
          <w:iCs/>
          <w:sz w:val="24"/>
          <w:szCs w:val="24"/>
        </w:rPr>
        <w:t>may</w:t>
      </w:r>
      <w:r>
        <w:rPr>
          <w:iCs/>
          <w:sz w:val="24"/>
          <w:szCs w:val="24"/>
        </w:rPr>
        <w:t xml:space="preserve"> cross-examine the opposing parties’ witnesses, if any, as time permits.  However, the Tribunal </w:t>
      </w:r>
      <w:r w:rsidR="00FE27FC">
        <w:rPr>
          <w:iCs/>
          <w:sz w:val="24"/>
          <w:szCs w:val="24"/>
        </w:rPr>
        <w:t xml:space="preserve">reiterates </w:t>
      </w:r>
      <w:r w:rsidR="005968E8">
        <w:rPr>
          <w:iCs/>
          <w:sz w:val="24"/>
          <w:szCs w:val="24"/>
        </w:rPr>
        <w:t>that the</w:t>
      </w:r>
      <w:r>
        <w:rPr>
          <w:iCs/>
          <w:sz w:val="24"/>
          <w:szCs w:val="24"/>
        </w:rPr>
        <w:t xml:space="preserve"> parties </w:t>
      </w:r>
      <w:r w:rsidRPr="00BD7023">
        <w:rPr>
          <w:b/>
          <w:bCs/>
          <w:iCs/>
          <w:sz w:val="24"/>
          <w:szCs w:val="24"/>
        </w:rPr>
        <w:t>are</w:t>
      </w:r>
      <w:r w:rsidR="00FE27FC" w:rsidRPr="00BD7023">
        <w:rPr>
          <w:b/>
          <w:bCs/>
          <w:iCs/>
          <w:sz w:val="24"/>
          <w:szCs w:val="24"/>
        </w:rPr>
        <w:t xml:space="preserve"> strictly</w:t>
      </w:r>
      <w:r w:rsidRPr="00BD7023">
        <w:rPr>
          <w:b/>
          <w:bCs/>
          <w:iCs/>
          <w:sz w:val="24"/>
          <w:szCs w:val="24"/>
        </w:rPr>
        <w:t xml:space="preserve"> limited to 15 minutes to present their case, and </w:t>
      </w:r>
      <w:r w:rsidR="00FE27FC" w:rsidRPr="00BD7023">
        <w:rPr>
          <w:b/>
          <w:bCs/>
          <w:iCs/>
          <w:sz w:val="24"/>
          <w:szCs w:val="24"/>
        </w:rPr>
        <w:t xml:space="preserve">an opportunity to provide </w:t>
      </w:r>
      <w:r w:rsidRPr="00BD7023">
        <w:rPr>
          <w:b/>
          <w:bCs/>
          <w:iCs/>
          <w:sz w:val="24"/>
          <w:szCs w:val="24"/>
        </w:rPr>
        <w:t xml:space="preserve">rebuttal </w:t>
      </w:r>
      <w:r w:rsidR="00FE27FC" w:rsidRPr="00BD7023">
        <w:rPr>
          <w:b/>
          <w:bCs/>
          <w:iCs/>
          <w:sz w:val="24"/>
          <w:szCs w:val="24"/>
        </w:rPr>
        <w:t xml:space="preserve">testimony or examination </w:t>
      </w:r>
      <w:r w:rsidRPr="00BD7023">
        <w:rPr>
          <w:b/>
          <w:bCs/>
          <w:iCs/>
          <w:sz w:val="24"/>
          <w:szCs w:val="24"/>
        </w:rPr>
        <w:t xml:space="preserve">is </w:t>
      </w:r>
      <w:r w:rsidR="00FE27FC" w:rsidRPr="00BD7023">
        <w:rPr>
          <w:b/>
          <w:bCs/>
          <w:iCs/>
          <w:sz w:val="24"/>
          <w:szCs w:val="24"/>
        </w:rPr>
        <w:t xml:space="preserve">not guaranteed as it is </w:t>
      </w:r>
      <w:r w:rsidRPr="00BD7023">
        <w:rPr>
          <w:b/>
          <w:bCs/>
          <w:iCs/>
          <w:sz w:val="24"/>
          <w:szCs w:val="24"/>
        </w:rPr>
        <w:t xml:space="preserve">only </w:t>
      </w:r>
      <w:r w:rsidR="00FE27FC" w:rsidRPr="00BD7023">
        <w:rPr>
          <w:b/>
          <w:bCs/>
          <w:iCs/>
          <w:sz w:val="24"/>
          <w:szCs w:val="24"/>
        </w:rPr>
        <w:t xml:space="preserve">permitted </w:t>
      </w:r>
      <w:r w:rsidR="009C4060" w:rsidRPr="00BD7023">
        <w:rPr>
          <w:b/>
          <w:bCs/>
          <w:iCs/>
          <w:sz w:val="24"/>
          <w:szCs w:val="24"/>
        </w:rPr>
        <w:t>as</w:t>
      </w:r>
      <w:r w:rsidR="00FE27FC" w:rsidRPr="00BD7023">
        <w:rPr>
          <w:b/>
          <w:bCs/>
          <w:iCs/>
          <w:sz w:val="24"/>
          <w:szCs w:val="24"/>
        </w:rPr>
        <w:t xml:space="preserve"> </w:t>
      </w:r>
      <w:r w:rsidRPr="00BD7023">
        <w:rPr>
          <w:b/>
          <w:bCs/>
          <w:iCs/>
          <w:sz w:val="24"/>
          <w:szCs w:val="24"/>
        </w:rPr>
        <w:t>time allows</w:t>
      </w:r>
      <w:r w:rsidR="00FE27FC" w:rsidRPr="00BD7023">
        <w:rPr>
          <w:b/>
          <w:bCs/>
          <w:iCs/>
          <w:sz w:val="24"/>
          <w:szCs w:val="24"/>
        </w:rPr>
        <w:t>.</w:t>
      </w:r>
      <w:r w:rsidR="00FE27FC">
        <w:rPr>
          <w:iCs/>
          <w:sz w:val="24"/>
          <w:szCs w:val="24"/>
        </w:rPr>
        <w:t xml:space="preserve">  E</w:t>
      </w:r>
      <w:r>
        <w:rPr>
          <w:iCs/>
          <w:sz w:val="24"/>
          <w:szCs w:val="24"/>
        </w:rPr>
        <w:t xml:space="preserve">ngaging in </w:t>
      </w:r>
      <w:r w:rsidR="00FE27FC">
        <w:rPr>
          <w:iCs/>
          <w:sz w:val="24"/>
          <w:szCs w:val="24"/>
        </w:rPr>
        <w:t xml:space="preserve">formal </w:t>
      </w:r>
      <w:r>
        <w:rPr>
          <w:iCs/>
          <w:sz w:val="24"/>
          <w:szCs w:val="24"/>
        </w:rPr>
        <w:t xml:space="preserve">cross-examination of </w:t>
      </w:r>
      <w:r w:rsidR="00FE27FC">
        <w:rPr>
          <w:iCs/>
          <w:sz w:val="24"/>
          <w:szCs w:val="24"/>
        </w:rPr>
        <w:t xml:space="preserve">the opposing </w:t>
      </w:r>
      <w:proofErr w:type="gramStart"/>
      <w:r w:rsidR="00FE27FC">
        <w:rPr>
          <w:iCs/>
          <w:sz w:val="24"/>
          <w:szCs w:val="24"/>
        </w:rPr>
        <w:t>parties’</w:t>
      </w:r>
      <w:proofErr w:type="gramEnd"/>
      <w:r w:rsidR="00FE27FC">
        <w:rPr>
          <w:iCs/>
          <w:sz w:val="24"/>
          <w:szCs w:val="24"/>
        </w:rPr>
        <w:t xml:space="preserve"> witnesse</w:t>
      </w:r>
      <w:r w:rsidR="00E6366D">
        <w:rPr>
          <w:iCs/>
          <w:sz w:val="24"/>
          <w:szCs w:val="24"/>
        </w:rPr>
        <w:t xml:space="preserve">d </w:t>
      </w:r>
      <w:r w:rsidR="00FF7042">
        <w:rPr>
          <w:iCs/>
          <w:sz w:val="24"/>
          <w:szCs w:val="24"/>
        </w:rPr>
        <w:t xml:space="preserve">is permissible but </w:t>
      </w:r>
      <w:r>
        <w:rPr>
          <w:iCs/>
          <w:sz w:val="24"/>
          <w:szCs w:val="24"/>
        </w:rPr>
        <w:t xml:space="preserve">may interfere with </w:t>
      </w:r>
      <w:r w:rsidR="00FF7042">
        <w:rPr>
          <w:iCs/>
          <w:sz w:val="24"/>
          <w:szCs w:val="24"/>
        </w:rPr>
        <w:t>a party’s</w:t>
      </w:r>
      <w:r>
        <w:rPr>
          <w:iCs/>
          <w:sz w:val="24"/>
          <w:szCs w:val="24"/>
        </w:rPr>
        <w:t xml:space="preserve"> ability to </w:t>
      </w:r>
      <w:r w:rsidR="00EF1261">
        <w:rPr>
          <w:iCs/>
          <w:sz w:val="24"/>
          <w:szCs w:val="24"/>
        </w:rPr>
        <w:t xml:space="preserve">adequately </w:t>
      </w:r>
      <w:r>
        <w:rPr>
          <w:iCs/>
          <w:sz w:val="24"/>
          <w:szCs w:val="24"/>
        </w:rPr>
        <w:t>present their cases within the time constraints of a small claims hearing</w:t>
      </w:r>
      <w:r w:rsidR="00FF7042">
        <w:rPr>
          <w:iCs/>
          <w:sz w:val="24"/>
          <w:szCs w:val="24"/>
        </w:rPr>
        <w:t>.</w:t>
      </w:r>
      <w:r>
        <w:rPr>
          <w:iCs/>
          <w:sz w:val="24"/>
          <w:szCs w:val="24"/>
        </w:rPr>
        <w:t xml:space="preserve"> </w:t>
      </w:r>
      <w:r w:rsidR="00EF1261">
        <w:rPr>
          <w:iCs/>
          <w:sz w:val="24"/>
          <w:szCs w:val="24"/>
        </w:rPr>
        <w:t xml:space="preserve"> </w:t>
      </w:r>
      <w:r w:rsidR="00E6366D">
        <w:rPr>
          <w:iCs/>
          <w:sz w:val="24"/>
          <w:szCs w:val="24"/>
        </w:rPr>
        <w:t>In this case, Petitioner has the burden of proof in establishing that they are entitled to the requested exemption.</w:t>
      </w:r>
    </w:p>
    <w:p w14:paraId="0712C23F" w14:textId="77777777" w:rsidR="00FE6166" w:rsidRDefault="00FE6166" w:rsidP="00FC2660">
      <w:pPr>
        <w:rPr>
          <w:sz w:val="24"/>
          <w:szCs w:val="24"/>
        </w:rPr>
      </w:pPr>
    </w:p>
    <w:p w14:paraId="4A1321C3" w14:textId="5D3233B7" w:rsidR="00581971" w:rsidRDefault="003A1F15" w:rsidP="00FC2660">
      <w:pPr>
        <w:rPr>
          <w:iCs/>
          <w:sz w:val="24"/>
          <w:szCs w:val="24"/>
        </w:rPr>
      </w:pPr>
      <w:r>
        <w:rPr>
          <w:iCs/>
          <w:sz w:val="24"/>
          <w:szCs w:val="24"/>
        </w:rPr>
        <w:t>Next, Petitioner requests clarification on TTR 289(3)</w:t>
      </w:r>
      <w:r w:rsidR="005D34AB">
        <w:rPr>
          <w:iCs/>
          <w:sz w:val="24"/>
          <w:szCs w:val="24"/>
        </w:rPr>
        <w:t xml:space="preserve"> regarding rebuttal evidence.</w:t>
      </w:r>
      <w:r w:rsidR="008C6C34">
        <w:rPr>
          <w:iCs/>
          <w:sz w:val="24"/>
          <w:szCs w:val="24"/>
        </w:rPr>
        <w:t xml:space="preserve">  </w:t>
      </w:r>
      <w:r w:rsidR="0081795F">
        <w:rPr>
          <w:iCs/>
          <w:sz w:val="24"/>
          <w:szCs w:val="24"/>
        </w:rPr>
        <w:t>The rule is clear on its face.</w:t>
      </w:r>
      <w:r w:rsidR="000D1EFC">
        <w:rPr>
          <w:iCs/>
          <w:sz w:val="24"/>
          <w:szCs w:val="24"/>
        </w:rPr>
        <w:t xml:space="preserve">  There is no Tribunal order that prevents Petitioner from presenting rebuttal evidence </w:t>
      </w:r>
      <w:proofErr w:type="gramStart"/>
      <w:r w:rsidR="00E6366D">
        <w:rPr>
          <w:iCs/>
          <w:sz w:val="24"/>
          <w:szCs w:val="24"/>
        </w:rPr>
        <w:t>as</w:t>
      </w:r>
      <w:r w:rsidR="000D1EFC">
        <w:rPr>
          <w:iCs/>
          <w:sz w:val="24"/>
          <w:szCs w:val="24"/>
        </w:rPr>
        <w:t xml:space="preserve"> long as</w:t>
      </w:r>
      <w:proofErr w:type="gramEnd"/>
      <w:r w:rsidR="000D1EFC">
        <w:rPr>
          <w:iCs/>
          <w:sz w:val="24"/>
          <w:szCs w:val="24"/>
        </w:rPr>
        <w:t xml:space="preserve"> </w:t>
      </w:r>
      <w:r w:rsidR="00E6366D">
        <w:rPr>
          <w:iCs/>
          <w:sz w:val="24"/>
          <w:szCs w:val="24"/>
        </w:rPr>
        <w:t>t</w:t>
      </w:r>
      <w:r w:rsidR="000D1EFC">
        <w:rPr>
          <w:iCs/>
          <w:sz w:val="24"/>
          <w:szCs w:val="24"/>
        </w:rPr>
        <w:t xml:space="preserve">he </w:t>
      </w:r>
      <w:r w:rsidR="00E6366D">
        <w:rPr>
          <w:iCs/>
          <w:sz w:val="24"/>
          <w:szCs w:val="24"/>
        </w:rPr>
        <w:t>documents are provided to the Tribunal and the opposing party as required by</w:t>
      </w:r>
      <w:r w:rsidR="000D1EFC">
        <w:rPr>
          <w:iCs/>
          <w:sz w:val="24"/>
          <w:szCs w:val="24"/>
        </w:rPr>
        <w:t xml:space="preserve"> TTR</w:t>
      </w:r>
      <w:r w:rsidR="001C6BF4">
        <w:rPr>
          <w:iCs/>
          <w:sz w:val="24"/>
          <w:szCs w:val="24"/>
        </w:rPr>
        <w:t xml:space="preserve"> 289(3).</w:t>
      </w:r>
      <w:r w:rsidR="00F60B6E">
        <w:rPr>
          <w:iCs/>
          <w:sz w:val="24"/>
          <w:szCs w:val="24"/>
        </w:rPr>
        <w:t xml:space="preserve">  While the Tribunal understands that Petitioner intended to use the information </w:t>
      </w:r>
      <w:r w:rsidR="00953366">
        <w:rPr>
          <w:iCs/>
          <w:sz w:val="24"/>
          <w:szCs w:val="24"/>
        </w:rPr>
        <w:t>supplied</w:t>
      </w:r>
      <w:r w:rsidR="00F60B6E">
        <w:rPr>
          <w:iCs/>
          <w:sz w:val="24"/>
          <w:szCs w:val="24"/>
        </w:rPr>
        <w:t xml:space="preserve"> </w:t>
      </w:r>
      <w:r w:rsidR="00953366">
        <w:rPr>
          <w:iCs/>
          <w:sz w:val="24"/>
          <w:szCs w:val="24"/>
        </w:rPr>
        <w:t>by</w:t>
      </w:r>
      <w:r w:rsidR="00F60B6E">
        <w:rPr>
          <w:iCs/>
          <w:sz w:val="24"/>
          <w:szCs w:val="24"/>
        </w:rPr>
        <w:t xml:space="preserve"> </w:t>
      </w:r>
      <w:r w:rsidR="00B53B4C">
        <w:rPr>
          <w:iCs/>
          <w:sz w:val="24"/>
          <w:szCs w:val="24"/>
        </w:rPr>
        <w:t xml:space="preserve">the requested </w:t>
      </w:r>
      <w:r w:rsidR="00F60B6E">
        <w:rPr>
          <w:iCs/>
          <w:sz w:val="24"/>
          <w:szCs w:val="24"/>
        </w:rPr>
        <w:t xml:space="preserve">subpoenas as rebuttal evidence, the Tribunal has already ruled that subpoenas are not </w:t>
      </w:r>
      <w:r w:rsidR="00D139BE">
        <w:rPr>
          <w:iCs/>
          <w:sz w:val="24"/>
          <w:szCs w:val="24"/>
        </w:rPr>
        <w:t>issued in Small Claims Division cases.  With that said, Petitioner is allowed to</w:t>
      </w:r>
      <w:r w:rsidR="002C7868">
        <w:rPr>
          <w:iCs/>
          <w:sz w:val="24"/>
          <w:szCs w:val="24"/>
        </w:rPr>
        <w:t xml:space="preserve"> submit other rebuttal evidence</w:t>
      </w:r>
      <w:r w:rsidR="00AC3B06">
        <w:rPr>
          <w:iCs/>
          <w:sz w:val="24"/>
          <w:szCs w:val="24"/>
        </w:rPr>
        <w:t xml:space="preserve"> at the hearing</w:t>
      </w:r>
      <w:r w:rsidR="002C7868">
        <w:rPr>
          <w:iCs/>
          <w:sz w:val="24"/>
          <w:szCs w:val="24"/>
        </w:rPr>
        <w:t>.</w:t>
      </w:r>
    </w:p>
    <w:p w14:paraId="3AA63267" w14:textId="77777777" w:rsidR="0063681E" w:rsidRDefault="0063681E" w:rsidP="00FC2660">
      <w:pPr>
        <w:rPr>
          <w:iCs/>
          <w:sz w:val="24"/>
          <w:szCs w:val="24"/>
        </w:rPr>
      </w:pPr>
    </w:p>
    <w:p w14:paraId="311F64BE" w14:textId="0503B2D6" w:rsidR="0063681E" w:rsidRDefault="0063681E" w:rsidP="00FC2660">
      <w:pPr>
        <w:rPr>
          <w:iCs/>
          <w:sz w:val="24"/>
          <w:szCs w:val="24"/>
        </w:rPr>
      </w:pPr>
      <w:r>
        <w:rPr>
          <w:iCs/>
          <w:sz w:val="24"/>
          <w:szCs w:val="24"/>
        </w:rPr>
        <w:t xml:space="preserve">Next, Petitioner requested a correction </w:t>
      </w:r>
      <w:r w:rsidR="00404F22">
        <w:rPr>
          <w:iCs/>
          <w:sz w:val="24"/>
          <w:szCs w:val="24"/>
        </w:rPr>
        <w:t xml:space="preserve">to the July 10, </w:t>
      </w:r>
      <w:proofErr w:type="gramStart"/>
      <w:r w:rsidR="00404F22">
        <w:rPr>
          <w:iCs/>
          <w:sz w:val="24"/>
          <w:szCs w:val="24"/>
        </w:rPr>
        <w:t>2026</w:t>
      </w:r>
      <w:proofErr w:type="gramEnd"/>
      <w:r w:rsidR="00404F22">
        <w:rPr>
          <w:iCs/>
          <w:sz w:val="24"/>
          <w:szCs w:val="24"/>
        </w:rPr>
        <w:t xml:space="preserve"> Order </w:t>
      </w:r>
      <w:r>
        <w:rPr>
          <w:iCs/>
          <w:sz w:val="24"/>
          <w:szCs w:val="24"/>
        </w:rPr>
        <w:t>regarding the applicable law</w:t>
      </w:r>
      <w:r w:rsidR="00C93C16">
        <w:rPr>
          <w:iCs/>
          <w:sz w:val="24"/>
          <w:szCs w:val="24"/>
        </w:rPr>
        <w:t xml:space="preserve"> involved in each case.</w:t>
      </w:r>
      <w:r w:rsidR="00E6366D">
        <w:rPr>
          <w:rStyle w:val="FootnoteReference"/>
          <w:iCs/>
          <w:sz w:val="24"/>
          <w:szCs w:val="24"/>
        </w:rPr>
        <w:footnoteReference w:id="4"/>
      </w:r>
      <w:r w:rsidR="00C93C16">
        <w:rPr>
          <w:iCs/>
          <w:sz w:val="24"/>
          <w:szCs w:val="24"/>
        </w:rPr>
        <w:t xml:space="preserve">  </w:t>
      </w:r>
      <w:r w:rsidR="00DF7556">
        <w:rPr>
          <w:iCs/>
          <w:sz w:val="24"/>
          <w:szCs w:val="24"/>
        </w:rPr>
        <w:t>Th</w:t>
      </w:r>
      <w:r w:rsidR="00404F22">
        <w:rPr>
          <w:iCs/>
          <w:sz w:val="24"/>
          <w:szCs w:val="24"/>
        </w:rPr>
        <w:t>is was a</w:t>
      </w:r>
      <w:r w:rsidR="00DF7556">
        <w:rPr>
          <w:iCs/>
          <w:sz w:val="24"/>
          <w:szCs w:val="24"/>
        </w:rPr>
        <w:t xml:space="preserve"> clerical error.  </w:t>
      </w:r>
      <w:r w:rsidR="00404F22">
        <w:rPr>
          <w:iCs/>
          <w:sz w:val="24"/>
          <w:szCs w:val="24"/>
        </w:rPr>
        <w:t>To clarify, e</w:t>
      </w:r>
      <w:r w:rsidR="00DF7556">
        <w:rPr>
          <w:iCs/>
          <w:sz w:val="24"/>
          <w:szCs w:val="24"/>
        </w:rPr>
        <w:t>ach case will</w:t>
      </w:r>
      <w:r w:rsidR="0040000E">
        <w:rPr>
          <w:iCs/>
          <w:sz w:val="24"/>
          <w:szCs w:val="24"/>
        </w:rPr>
        <w:t xml:space="preserve"> </w:t>
      </w:r>
      <w:r w:rsidR="00027FC5">
        <w:rPr>
          <w:iCs/>
          <w:sz w:val="24"/>
          <w:szCs w:val="24"/>
        </w:rPr>
        <w:t>be considered</w:t>
      </w:r>
      <w:r w:rsidR="0040000E">
        <w:rPr>
          <w:iCs/>
          <w:sz w:val="24"/>
          <w:szCs w:val="24"/>
        </w:rPr>
        <w:t xml:space="preserve"> under the laws applicable to the petition filed in </w:t>
      </w:r>
      <w:r w:rsidR="00404F22">
        <w:rPr>
          <w:iCs/>
          <w:sz w:val="24"/>
          <w:szCs w:val="24"/>
        </w:rPr>
        <w:t>the</w:t>
      </w:r>
      <w:r w:rsidR="0040000E">
        <w:rPr>
          <w:iCs/>
          <w:sz w:val="24"/>
          <w:szCs w:val="24"/>
        </w:rPr>
        <w:t xml:space="preserve"> </w:t>
      </w:r>
      <w:r w:rsidR="00EA6A08">
        <w:rPr>
          <w:iCs/>
          <w:sz w:val="24"/>
          <w:szCs w:val="24"/>
        </w:rPr>
        <w:t xml:space="preserve">respective </w:t>
      </w:r>
      <w:r w:rsidR="0040000E">
        <w:rPr>
          <w:iCs/>
          <w:sz w:val="24"/>
          <w:szCs w:val="24"/>
        </w:rPr>
        <w:t>case</w:t>
      </w:r>
      <w:r w:rsidR="00404F22" w:rsidRPr="00404F22">
        <w:rPr>
          <w:iCs/>
          <w:sz w:val="24"/>
          <w:szCs w:val="24"/>
        </w:rPr>
        <w:t xml:space="preserve"> </w:t>
      </w:r>
      <w:r w:rsidR="00404F22">
        <w:rPr>
          <w:iCs/>
          <w:sz w:val="24"/>
          <w:szCs w:val="24"/>
        </w:rPr>
        <w:t>and the claims alleged in that specific petition</w:t>
      </w:r>
      <w:r w:rsidR="0040000E">
        <w:rPr>
          <w:iCs/>
          <w:sz w:val="24"/>
          <w:szCs w:val="24"/>
        </w:rPr>
        <w:t>.</w:t>
      </w:r>
    </w:p>
    <w:p w14:paraId="519FDA77" w14:textId="77777777" w:rsidR="00226255" w:rsidRDefault="00226255" w:rsidP="00FC2660">
      <w:pPr>
        <w:rPr>
          <w:iCs/>
          <w:sz w:val="24"/>
          <w:szCs w:val="24"/>
        </w:rPr>
      </w:pPr>
    </w:p>
    <w:p w14:paraId="6B264216" w14:textId="71D2896C" w:rsidR="00DD32E6" w:rsidRDefault="00226255" w:rsidP="00FC2660">
      <w:pPr>
        <w:rPr>
          <w:sz w:val="24"/>
          <w:szCs w:val="24"/>
        </w:rPr>
      </w:pPr>
      <w:r w:rsidRPr="00FC2660">
        <w:rPr>
          <w:sz w:val="24"/>
          <w:szCs w:val="24"/>
        </w:rPr>
        <w:t xml:space="preserve">Given the above, </w:t>
      </w:r>
      <w:r>
        <w:rPr>
          <w:sz w:val="24"/>
          <w:szCs w:val="24"/>
        </w:rPr>
        <w:t>Petitioner</w:t>
      </w:r>
      <w:r w:rsidRPr="00FC2660">
        <w:rPr>
          <w:sz w:val="24"/>
          <w:szCs w:val="24"/>
        </w:rPr>
        <w:t xml:space="preserve"> </w:t>
      </w:r>
      <w:r w:rsidR="00EF1261">
        <w:rPr>
          <w:sz w:val="24"/>
          <w:szCs w:val="24"/>
        </w:rPr>
        <w:t xml:space="preserve">demonstrated a palpable error regarding the parties’ ability </w:t>
      </w:r>
      <w:r w:rsidR="00404F22">
        <w:rPr>
          <w:sz w:val="24"/>
          <w:szCs w:val="24"/>
        </w:rPr>
        <w:t xml:space="preserve">to </w:t>
      </w:r>
      <w:r w:rsidR="00EF1261">
        <w:rPr>
          <w:sz w:val="24"/>
          <w:szCs w:val="24"/>
        </w:rPr>
        <w:t xml:space="preserve">cross examine witnesses but </w:t>
      </w:r>
      <w:r w:rsidRPr="00FC2660">
        <w:rPr>
          <w:sz w:val="24"/>
          <w:szCs w:val="24"/>
        </w:rPr>
        <w:t xml:space="preserve">failed to demonstrate a palpable error relative to the </w:t>
      </w:r>
      <w:r>
        <w:rPr>
          <w:sz w:val="24"/>
          <w:szCs w:val="24"/>
        </w:rPr>
        <w:lastRenderedPageBreak/>
        <w:t>request for subpoenas</w:t>
      </w:r>
      <w:r w:rsidRPr="00FC2660">
        <w:rPr>
          <w:sz w:val="24"/>
          <w:szCs w:val="24"/>
        </w:rPr>
        <w:t xml:space="preserve"> that misled the Tribunal and the parties that would have resulted in a different disposition if the error was corrected.</w:t>
      </w:r>
      <w:r w:rsidRPr="00FC2660">
        <w:rPr>
          <w:sz w:val="24"/>
          <w:szCs w:val="24"/>
          <w:vertAlign w:val="superscript"/>
        </w:rPr>
        <w:footnoteReference w:id="5"/>
      </w:r>
      <w:r w:rsidRPr="00FC2660">
        <w:rPr>
          <w:sz w:val="24"/>
          <w:szCs w:val="24"/>
        </w:rPr>
        <w:t xml:space="preserve">  </w:t>
      </w:r>
    </w:p>
    <w:p w14:paraId="3AE2F3B8" w14:textId="717574ED" w:rsidR="00EF1261" w:rsidRDefault="00EF1261" w:rsidP="00FC2660">
      <w:pPr>
        <w:rPr>
          <w:sz w:val="24"/>
          <w:szCs w:val="24"/>
        </w:rPr>
      </w:pPr>
    </w:p>
    <w:p w14:paraId="7282D093" w14:textId="744BF65E" w:rsidR="00FC2660" w:rsidRPr="00226255" w:rsidRDefault="00FC2660" w:rsidP="00FC2660">
      <w:pPr>
        <w:rPr>
          <w:iCs/>
          <w:sz w:val="24"/>
          <w:szCs w:val="24"/>
        </w:rPr>
      </w:pPr>
      <w:r w:rsidRPr="00FC2660">
        <w:rPr>
          <w:sz w:val="24"/>
          <w:szCs w:val="24"/>
        </w:rPr>
        <w:t>Therefore,</w:t>
      </w:r>
    </w:p>
    <w:p w14:paraId="1F889390" w14:textId="77777777" w:rsidR="00FC2660" w:rsidRPr="00FC2660" w:rsidRDefault="00FC2660" w:rsidP="00FC2660">
      <w:pPr>
        <w:rPr>
          <w:sz w:val="24"/>
          <w:szCs w:val="24"/>
        </w:rPr>
      </w:pPr>
    </w:p>
    <w:p w14:paraId="3FB48879" w14:textId="320C2039" w:rsidR="00E14FB8" w:rsidRDefault="00FC2660" w:rsidP="00FC2660">
      <w:pPr>
        <w:rPr>
          <w:sz w:val="24"/>
          <w:szCs w:val="24"/>
        </w:rPr>
      </w:pPr>
      <w:r w:rsidRPr="00FC2660">
        <w:rPr>
          <w:sz w:val="24"/>
          <w:szCs w:val="24"/>
        </w:rPr>
        <w:t xml:space="preserve">IT IS ORDERED that </w:t>
      </w:r>
      <w:r w:rsidR="008002F0">
        <w:rPr>
          <w:sz w:val="24"/>
          <w:szCs w:val="24"/>
        </w:rPr>
        <w:t>Petitioner’s</w:t>
      </w:r>
      <w:r w:rsidRPr="00FC2660">
        <w:rPr>
          <w:sz w:val="24"/>
          <w:szCs w:val="24"/>
        </w:rPr>
        <w:t xml:space="preserve"> </w:t>
      </w:r>
      <w:r w:rsidR="00100A72">
        <w:rPr>
          <w:sz w:val="24"/>
          <w:szCs w:val="24"/>
        </w:rPr>
        <w:t>Motion for</w:t>
      </w:r>
      <w:r w:rsidR="00E14FB8">
        <w:rPr>
          <w:sz w:val="24"/>
          <w:szCs w:val="24"/>
        </w:rPr>
        <w:t xml:space="preserve"> Immediate Consideration is GRANTED.</w:t>
      </w:r>
    </w:p>
    <w:p w14:paraId="40D3338D" w14:textId="77777777" w:rsidR="00004C8F" w:rsidRDefault="00004C8F" w:rsidP="00FC2660">
      <w:pPr>
        <w:rPr>
          <w:sz w:val="24"/>
          <w:szCs w:val="24"/>
        </w:rPr>
      </w:pPr>
    </w:p>
    <w:p w14:paraId="24E4173F" w14:textId="77777777" w:rsidR="00004C8F" w:rsidRPr="00FC2660" w:rsidRDefault="00004C8F" w:rsidP="00004C8F">
      <w:pPr>
        <w:rPr>
          <w:sz w:val="24"/>
          <w:szCs w:val="24"/>
        </w:rPr>
      </w:pPr>
      <w:r>
        <w:rPr>
          <w:sz w:val="24"/>
          <w:szCs w:val="24"/>
        </w:rPr>
        <w:t xml:space="preserve">IT IS FURTHER ORDERED </w:t>
      </w:r>
      <w:proofErr w:type="gramStart"/>
      <w:r>
        <w:rPr>
          <w:sz w:val="24"/>
          <w:szCs w:val="24"/>
        </w:rPr>
        <w:t>that</w:t>
      </w:r>
      <w:proofErr w:type="gramEnd"/>
      <w:r>
        <w:rPr>
          <w:sz w:val="24"/>
          <w:szCs w:val="24"/>
        </w:rPr>
        <w:t xml:space="preserve"> Petitioner’s </w:t>
      </w:r>
      <w:r w:rsidRPr="00FC2660">
        <w:rPr>
          <w:sz w:val="24"/>
          <w:szCs w:val="24"/>
        </w:rPr>
        <w:t xml:space="preserve">Motion for </w:t>
      </w:r>
      <w:r>
        <w:rPr>
          <w:sz w:val="24"/>
          <w:szCs w:val="24"/>
        </w:rPr>
        <w:t xml:space="preserve">Adjournment </w:t>
      </w:r>
      <w:r w:rsidRPr="00FC2660">
        <w:rPr>
          <w:sz w:val="24"/>
          <w:szCs w:val="24"/>
        </w:rPr>
        <w:t>is DENIED.</w:t>
      </w:r>
    </w:p>
    <w:p w14:paraId="3CF5F08A" w14:textId="77777777" w:rsidR="00E14FB8" w:rsidRDefault="00E14FB8" w:rsidP="00FC2660">
      <w:pPr>
        <w:rPr>
          <w:sz w:val="24"/>
          <w:szCs w:val="24"/>
        </w:rPr>
      </w:pPr>
    </w:p>
    <w:p w14:paraId="54720742" w14:textId="732BA531" w:rsidR="00EF1261" w:rsidRDefault="00EF1261" w:rsidP="00FC2660">
      <w:pPr>
        <w:rPr>
          <w:sz w:val="24"/>
          <w:szCs w:val="24"/>
        </w:rPr>
      </w:pPr>
      <w:r w:rsidRPr="00004C8F">
        <w:rPr>
          <w:sz w:val="24"/>
          <w:szCs w:val="24"/>
        </w:rPr>
        <w:t xml:space="preserve">IT IS FURTHER ORDERED </w:t>
      </w:r>
      <w:proofErr w:type="gramStart"/>
      <w:r w:rsidRPr="00004C8F">
        <w:rPr>
          <w:sz w:val="24"/>
          <w:szCs w:val="24"/>
        </w:rPr>
        <w:t>that</w:t>
      </w:r>
      <w:proofErr w:type="gramEnd"/>
      <w:r w:rsidRPr="00004C8F">
        <w:rPr>
          <w:sz w:val="24"/>
          <w:szCs w:val="24"/>
        </w:rPr>
        <w:t xml:space="preserve"> Petitioner’s Motion for Reconsideration is PARTIALLY GRANTED.</w:t>
      </w:r>
    </w:p>
    <w:p w14:paraId="1D3E1EAD" w14:textId="77777777" w:rsidR="00004C8F" w:rsidRDefault="00004C8F" w:rsidP="00FC2660">
      <w:pPr>
        <w:rPr>
          <w:sz w:val="24"/>
          <w:szCs w:val="24"/>
        </w:rPr>
      </w:pPr>
    </w:p>
    <w:p w14:paraId="49BD2F5F" w14:textId="5D2D8BAE" w:rsidR="00004C8F" w:rsidRDefault="00004C8F" w:rsidP="00004C8F">
      <w:pPr>
        <w:rPr>
          <w:sz w:val="24"/>
          <w:szCs w:val="24"/>
        </w:rPr>
      </w:pPr>
      <w:r w:rsidRPr="00FC2660">
        <w:rPr>
          <w:sz w:val="24"/>
          <w:szCs w:val="24"/>
        </w:rPr>
        <w:t xml:space="preserve">IT IS </w:t>
      </w:r>
      <w:r>
        <w:rPr>
          <w:sz w:val="24"/>
          <w:szCs w:val="24"/>
        </w:rPr>
        <w:t xml:space="preserve">FURTHER </w:t>
      </w:r>
      <w:r w:rsidRPr="00FC2660">
        <w:rPr>
          <w:sz w:val="24"/>
          <w:szCs w:val="24"/>
        </w:rPr>
        <w:t xml:space="preserve">ORDERED that </w:t>
      </w:r>
      <w:r>
        <w:rPr>
          <w:sz w:val="24"/>
          <w:szCs w:val="24"/>
        </w:rPr>
        <w:t>Petitioner’s</w:t>
      </w:r>
      <w:r w:rsidRPr="00FC2660">
        <w:rPr>
          <w:sz w:val="24"/>
          <w:szCs w:val="24"/>
        </w:rPr>
        <w:t xml:space="preserve"> </w:t>
      </w:r>
      <w:r w:rsidR="00E07C27">
        <w:rPr>
          <w:sz w:val="24"/>
          <w:szCs w:val="24"/>
        </w:rPr>
        <w:t>Request</w:t>
      </w:r>
      <w:r>
        <w:rPr>
          <w:sz w:val="24"/>
          <w:szCs w:val="24"/>
        </w:rPr>
        <w:t xml:space="preserve"> for a Video Conference Hearing is GRANTED.</w:t>
      </w:r>
    </w:p>
    <w:p w14:paraId="79E02685" w14:textId="77777777" w:rsidR="00E4682B" w:rsidRPr="007A7AAF" w:rsidRDefault="00E4682B" w:rsidP="00E4682B">
      <w:pPr>
        <w:rPr>
          <w:sz w:val="24"/>
          <w:szCs w:val="24"/>
        </w:rPr>
      </w:pPr>
    </w:p>
    <w:p w14:paraId="542CA5D2" w14:textId="04EB8A36" w:rsidR="003A3C48" w:rsidRPr="007A7AAF" w:rsidRDefault="003A3C48" w:rsidP="00240C83">
      <w:pPr>
        <w:rPr>
          <w:sz w:val="24"/>
          <w:szCs w:val="24"/>
        </w:rPr>
      </w:pPr>
    </w:p>
    <w:p w14:paraId="0ADCA75A" w14:textId="314407AA" w:rsidR="00A11A86" w:rsidRDefault="00A11A86" w:rsidP="00A11A86">
      <w:pPr>
        <w:rPr>
          <w:rFonts w:cs="Arial"/>
          <w:sz w:val="24"/>
          <w:szCs w:val="24"/>
        </w:rPr>
      </w:pPr>
      <w:r>
        <w:rPr>
          <w:rFonts w:cs="Arial"/>
          <w:sz w:val="24"/>
          <w:szCs w:val="24"/>
        </w:rPr>
        <w:t>Entered:</w:t>
      </w:r>
      <w:r w:rsidR="00D6412F">
        <w:rPr>
          <w:rFonts w:cs="Arial"/>
          <w:sz w:val="24"/>
          <w:szCs w:val="24"/>
        </w:rPr>
        <w:t xml:space="preserve"> July 14, </w:t>
      </w:r>
      <w:proofErr w:type="gramStart"/>
      <w:r w:rsidR="00D6412F">
        <w:rPr>
          <w:rFonts w:cs="Arial"/>
          <w:sz w:val="24"/>
          <w:szCs w:val="24"/>
        </w:rPr>
        <w:t>2026</w:t>
      </w:r>
      <w:proofErr w:type="gramEnd"/>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By: </w:t>
      </w:r>
      <w:r w:rsidRPr="00004C8F">
        <w:rPr>
          <w:rFonts w:cs="Arial"/>
          <w:sz w:val="24"/>
          <w:szCs w:val="24"/>
        </w:rPr>
        <w:t>/s/</w:t>
      </w:r>
      <w:r w:rsidR="00032F75" w:rsidRPr="00004C8F">
        <w:rPr>
          <w:rFonts w:cs="Arial"/>
          <w:sz w:val="24"/>
          <w:szCs w:val="24"/>
        </w:rPr>
        <w:t xml:space="preserve"> Joshua M. Wease</w:t>
      </w:r>
    </w:p>
    <w:p w14:paraId="4E0CD8D9" w14:textId="1A66BAB1" w:rsidR="00A11A86" w:rsidRDefault="00F21760" w:rsidP="00A11A86">
      <w:pPr>
        <w:rPr>
          <w:rFonts w:cs="Arial"/>
          <w:sz w:val="24"/>
          <w:szCs w:val="24"/>
        </w:rPr>
      </w:pPr>
      <w:proofErr w:type="spellStart"/>
      <w:r>
        <w:rPr>
          <w:rFonts w:cs="Arial"/>
          <w:sz w:val="24"/>
          <w:szCs w:val="24"/>
        </w:rPr>
        <w:t>jmw</w:t>
      </w:r>
      <w:proofErr w:type="spellEnd"/>
      <w:r w:rsidR="009709C9">
        <w:rPr>
          <w:rFonts w:cs="Arial"/>
          <w:sz w:val="24"/>
          <w:szCs w:val="24"/>
        </w:rPr>
        <w:t>/cs</w:t>
      </w:r>
    </w:p>
    <w:p w14:paraId="5DE7DCAA" w14:textId="77777777" w:rsidR="00A11A86" w:rsidRDefault="00A11A86" w:rsidP="00A11A86">
      <w:pPr>
        <w:spacing w:after="160" w:line="252" w:lineRule="auto"/>
        <w:jc w:val="center"/>
        <w:rPr>
          <w:rFonts w:cs="Arial"/>
          <w:b/>
          <w:bCs/>
          <w:sz w:val="24"/>
          <w:szCs w:val="24"/>
          <w:u w:val="single"/>
        </w:rPr>
      </w:pPr>
    </w:p>
    <w:p w14:paraId="23094BD0" w14:textId="77777777" w:rsidR="00A11A86" w:rsidRDefault="00A11A86" w:rsidP="00A11A86">
      <w:pPr>
        <w:jc w:val="center"/>
        <w:rPr>
          <w:rFonts w:cs="Arial"/>
          <w:b/>
          <w:bCs/>
          <w:sz w:val="24"/>
          <w:szCs w:val="24"/>
          <w:u w:val="single"/>
        </w:rPr>
      </w:pPr>
      <w:r>
        <w:rPr>
          <w:rFonts w:cs="Arial"/>
          <w:b/>
          <w:bCs/>
          <w:sz w:val="24"/>
          <w:szCs w:val="24"/>
          <w:u w:val="single"/>
        </w:rPr>
        <w:t>PROOF OF SERVICE</w:t>
      </w:r>
    </w:p>
    <w:p w14:paraId="36AE2D2D" w14:textId="77777777" w:rsidR="00A11A86" w:rsidRDefault="00A11A86" w:rsidP="00A11A86">
      <w:pPr>
        <w:rPr>
          <w:rFonts w:cs="Arial"/>
          <w:sz w:val="24"/>
          <w:szCs w:val="24"/>
        </w:rPr>
      </w:pPr>
    </w:p>
    <w:p w14:paraId="5307DD2E" w14:textId="77777777" w:rsidR="00A11A86" w:rsidRDefault="00A11A86" w:rsidP="00A11A86">
      <w:pPr>
        <w:rPr>
          <w:rFonts w:cs="Arial"/>
          <w:sz w:val="24"/>
          <w:szCs w:val="24"/>
        </w:rPr>
      </w:pPr>
      <w:r>
        <w:rPr>
          <w:rFonts w:cs="Arial"/>
          <w:sz w:val="24"/>
          <w:szCs w:val="24"/>
        </w:rPr>
        <w:t>I certify that a copy of the foregoing was sent on the entry date indicated above to the parties or their attorneys or authorized representatives, if any, utilizing either the mailing or email addresses on file, as provided by those parties, attorneys, or authorized representatives.</w:t>
      </w:r>
    </w:p>
    <w:p w14:paraId="6FBD12A3" w14:textId="77777777" w:rsidR="00A11A86" w:rsidRDefault="00A11A86" w:rsidP="00A11A86">
      <w:pPr>
        <w:ind w:left="5040" w:firstLine="720"/>
        <w:rPr>
          <w:rFonts w:cs="Arial"/>
          <w:sz w:val="24"/>
          <w:szCs w:val="24"/>
        </w:rPr>
      </w:pPr>
    </w:p>
    <w:p w14:paraId="4380EAC1" w14:textId="77777777" w:rsidR="00A11A86" w:rsidRDefault="00A11A86" w:rsidP="00A11A86">
      <w:pPr>
        <w:ind w:left="5040" w:firstLine="720"/>
        <w:rPr>
          <w:rFonts w:cs="Arial"/>
          <w:sz w:val="24"/>
          <w:szCs w:val="24"/>
        </w:rPr>
      </w:pPr>
      <w:proofErr w:type="gramStart"/>
      <w:r>
        <w:rPr>
          <w:rFonts w:cs="Arial"/>
          <w:sz w:val="24"/>
          <w:szCs w:val="24"/>
        </w:rPr>
        <w:t>By</w:t>
      </w:r>
      <w:proofErr w:type="gramEnd"/>
      <w:r>
        <w:rPr>
          <w:rFonts w:cs="Arial"/>
          <w:sz w:val="24"/>
          <w:szCs w:val="24"/>
        </w:rPr>
        <w:t>: Tribunal Clerk</w:t>
      </w:r>
    </w:p>
    <w:p w14:paraId="0EBBB635" w14:textId="748C0143" w:rsidR="003A3C48" w:rsidRDefault="003A3C48" w:rsidP="00A461D6">
      <w:pPr>
        <w:rPr>
          <w:sz w:val="24"/>
          <w:szCs w:val="24"/>
        </w:rPr>
      </w:pPr>
    </w:p>
    <w:p w14:paraId="2165A146" w14:textId="77777777" w:rsidR="00BE14C4" w:rsidRPr="007A7AAF" w:rsidRDefault="00BE14C4" w:rsidP="00A461D6">
      <w:pPr>
        <w:rPr>
          <w:sz w:val="24"/>
          <w:szCs w:val="24"/>
        </w:rPr>
      </w:pPr>
    </w:p>
    <w:sectPr w:rsidR="00BE14C4" w:rsidRPr="007A7AAF" w:rsidSect="005C45DB">
      <w:headerReference w:type="default" r:id="rId9"/>
      <w:headerReference w:type="first" r:id="rId10"/>
      <w:footerReference w:type="first" r:id="rId11"/>
      <w:pgSz w:w="12240" w:h="15840"/>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31F84" w14:textId="77777777" w:rsidR="000B1507" w:rsidRDefault="000B1507" w:rsidP="00F2181C">
      <w:r>
        <w:separator/>
      </w:r>
    </w:p>
  </w:endnote>
  <w:endnote w:type="continuationSeparator" w:id="0">
    <w:p w14:paraId="58649A6B" w14:textId="77777777" w:rsidR="000B1507" w:rsidRDefault="000B1507" w:rsidP="00F2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8AEB" w14:textId="77777777" w:rsidR="007A3AB0" w:rsidRDefault="007A3AB0" w:rsidP="007A3AB0">
    <w:pPr>
      <w:pStyle w:val="Footer"/>
      <w:jc w:val="center"/>
      <w:rPr>
        <w:rFonts w:cs="Arial"/>
        <w:sz w:val="18"/>
        <w:szCs w:val="18"/>
      </w:rPr>
    </w:pPr>
    <w:bookmarkStart w:id="1" w:name="_Hlk156989615"/>
    <w:bookmarkStart w:id="2" w:name="_Hlk156989616"/>
    <w:bookmarkStart w:id="3" w:name="_Hlk156989617"/>
    <w:bookmarkStart w:id="4" w:name="_Hlk156989618"/>
    <w:bookmarkStart w:id="5" w:name="_Hlk156989619"/>
    <w:bookmarkStart w:id="6" w:name="_Hlk156989620"/>
    <w:bookmarkStart w:id="7" w:name="_Hlk156989622"/>
    <w:bookmarkStart w:id="8" w:name="_Hlk156989623"/>
    <w:bookmarkStart w:id="9" w:name="_Hlk156994028"/>
    <w:bookmarkStart w:id="10" w:name="_Hlk156994029"/>
    <w:bookmarkStart w:id="11" w:name="_Hlk156994033"/>
    <w:bookmarkStart w:id="12" w:name="_Hlk156994034"/>
    <w:bookmarkStart w:id="13" w:name="_Hlk156994239"/>
    <w:bookmarkStart w:id="14" w:name="_Hlk156994240"/>
    <w:bookmarkStart w:id="15" w:name="_Hlk156994241"/>
    <w:bookmarkStart w:id="16" w:name="_Hlk156994242"/>
    <w:bookmarkStart w:id="17" w:name="_Hlk156994424"/>
    <w:bookmarkStart w:id="18" w:name="_Hlk156994425"/>
    <w:bookmarkStart w:id="19" w:name="_Hlk156994426"/>
    <w:bookmarkStart w:id="20" w:name="_Hlk156994427"/>
    <w:bookmarkStart w:id="21" w:name="_Hlk156994509"/>
    <w:bookmarkStart w:id="22" w:name="_Hlk156994510"/>
    <w:bookmarkStart w:id="23" w:name="_Hlk156994511"/>
    <w:bookmarkStart w:id="24" w:name="_Hlk156994512"/>
    <w:bookmarkStart w:id="25" w:name="_Hlk156994582"/>
    <w:bookmarkStart w:id="26" w:name="_Hlk156994583"/>
    <w:bookmarkStart w:id="27" w:name="_Hlk156994584"/>
    <w:bookmarkStart w:id="28" w:name="_Hlk156994585"/>
    <w:bookmarkStart w:id="29" w:name="_Hlk156994655"/>
    <w:bookmarkStart w:id="30" w:name="_Hlk156994656"/>
    <w:bookmarkStart w:id="31" w:name="_Hlk156994657"/>
    <w:bookmarkStart w:id="32" w:name="_Hlk156994658"/>
    <w:bookmarkStart w:id="33" w:name="_Hlk156996310"/>
    <w:bookmarkStart w:id="34" w:name="_Hlk156996311"/>
    <w:bookmarkStart w:id="35" w:name="_Hlk156996312"/>
    <w:bookmarkStart w:id="36" w:name="_Hlk156996313"/>
    <w:bookmarkStart w:id="37" w:name="_Hlk156996380"/>
    <w:bookmarkStart w:id="38" w:name="_Hlk156996381"/>
    <w:bookmarkStart w:id="39" w:name="_Hlk156996382"/>
    <w:bookmarkStart w:id="40" w:name="_Hlk156996383"/>
    <w:bookmarkStart w:id="41" w:name="_Hlk156997038"/>
    <w:bookmarkStart w:id="42" w:name="_Hlk156997039"/>
    <w:bookmarkStart w:id="43" w:name="_Hlk156997040"/>
    <w:bookmarkStart w:id="44" w:name="_Hlk156997041"/>
    <w:bookmarkStart w:id="45" w:name="_Hlk156999222"/>
    <w:bookmarkStart w:id="46" w:name="_Hlk156999223"/>
    <w:bookmarkStart w:id="47" w:name="_Hlk156999224"/>
    <w:bookmarkStart w:id="48" w:name="_Hlk156999225"/>
    <w:bookmarkStart w:id="49" w:name="_Hlk157000629"/>
    <w:bookmarkStart w:id="50" w:name="_Hlk157000630"/>
    <w:bookmarkStart w:id="51" w:name="_Hlk157000631"/>
    <w:bookmarkStart w:id="52" w:name="_Hlk157000632"/>
    <w:bookmarkStart w:id="53" w:name="_Hlk157003283"/>
    <w:bookmarkStart w:id="54" w:name="_Hlk157003284"/>
    <w:bookmarkStart w:id="55" w:name="_Hlk157003285"/>
    <w:bookmarkStart w:id="56" w:name="_Hlk157003286"/>
    <w:bookmarkStart w:id="57" w:name="_Hlk157003598"/>
    <w:bookmarkStart w:id="58" w:name="_Hlk157003599"/>
    <w:bookmarkStart w:id="59" w:name="_Hlk157003600"/>
    <w:bookmarkStart w:id="60" w:name="_Hlk157003601"/>
    <w:bookmarkStart w:id="61" w:name="_Hlk157003685"/>
    <w:bookmarkStart w:id="62" w:name="_Hlk157003686"/>
    <w:bookmarkStart w:id="63" w:name="_Hlk157003687"/>
    <w:bookmarkStart w:id="64" w:name="_Hlk157003688"/>
  </w:p>
  <w:p w14:paraId="1F2F1BC7" w14:textId="48A908C7" w:rsidR="007A3AB0" w:rsidRDefault="007A3AB0" w:rsidP="007A3AB0">
    <w:pPr>
      <w:pStyle w:val="Footer"/>
      <w:jc w:val="center"/>
      <w:rPr>
        <w:rFonts w:cs="Arial"/>
        <w:sz w:val="18"/>
        <w:szCs w:val="18"/>
      </w:rPr>
    </w:pPr>
    <w:r>
      <w:rPr>
        <w:rFonts w:cs="Arial"/>
        <w:sz w:val="18"/>
        <w:szCs w:val="18"/>
      </w:rPr>
      <w:t>MICHIGAN TAX TRIBUNAL · 611 W. OTTAWA ST., LANSING, MI 48933 · 517-335-9760</w:t>
    </w:r>
  </w:p>
  <w:p w14:paraId="5E015E5D" w14:textId="0F402AAD" w:rsidR="003A3C48" w:rsidRPr="007A3AB0" w:rsidRDefault="007A3AB0" w:rsidP="007A3AB0">
    <w:pPr>
      <w:pStyle w:val="Footer"/>
      <w:jc w:val="center"/>
      <w:rPr>
        <w:rFonts w:cs="Arial"/>
        <w:sz w:val="18"/>
        <w:szCs w:val="18"/>
      </w:rPr>
    </w:pPr>
    <w:r>
      <w:rPr>
        <w:rFonts w:cs="Arial"/>
        <w:sz w:val="18"/>
        <w:szCs w:val="18"/>
      </w:rPr>
      <w:t>PO BOX 30232, LANSING, MI 48909 · Other Carriers: 2407 N</w:t>
    </w:r>
    <w:r w:rsidR="005C45DB">
      <w:rPr>
        <w:rFonts w:cs="Arial"/>
        <w:sz w:val="18"/>
        <w:szCs w:val="18"/>
      </w:rPr>
      <w:t>.</w:t>
    </w:r>
    <w:r>
      <w:rPr>
        <w:rFonts w:cs="Arial"/>
        <w:sz w:val="18"/>
        <w:szCs w:val="18"/>
      </w:rPr>
      <w:t xml:space="preserve"> GRAND RIVER AVE</w:t>
    </w:r>
    <w:r w:rsidR="005C45DB">
      <w:rPr>
        <w:rFonts w:cs="Arial"/>
        <w:sz w:val="18"/>
        <w:szCs w:val="18"/>
      </w:rPr>
      <w:t>.</w:t>
    </w:r>
    <w:r>
      <w:rPr>
        <w:rFonts w:cs="Arial"/>
        <w:sz w:val="18"/>
        <w:szCs w:val="18"/>
      </w:rPr>
      <w:t>, LANSING, MI 48906</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53D7" w14:textId="77777777" w:rsidR="000B1507" w:rsidRDefault="000B1507" w:rsidP="00F2181C">
      <w:r>
        <w:separator/>
      </w:r>
    </w:p>
  </w:footnote>
  <w:footnote w:type="continuationSeparator" w:id="0">
    <w:p w14:paraId="7BB31ED7" w14:textId="77777777" w:rsidR="000B1507" w:rsidRDefault="000B1507" w:rsidP="00F2181C">
      <w:r>
        <w:continuationSeparator/>
      </w:r>
    </w:p>
  </w:footnote>
  <w:footnote w:id="1">
    <w:p w14:paraId="765F5B8D" w14:textId="21AF877A" w:rsidR="00D922B1" w:rsidRDefault="00D922B1">
      <w:pPr>
        <w:pStyle w:val="FootnoteText"/>
      </w:pPr>
      <w:r>
        <w:rPr>
          <w:rStyle w:val="FootnoteReference"/>
        </w:rPr>
        <w:footnoteRef/>
      </w:r>
      <w:r>
        <w:t xml:space="preserve"> Motion, paragraph 36.</w:t>
      </w:r>
    </w:p>
  </w:footnote>
  <w:footnote w:id="2">
    <w:p w14:paraId="5A234280" w14:textId="5E8BEFA6" w:rsidR="00490088" w:rsidRPr="00490088" w:rsidRDefault="00490088">
      <w:pPr>
        <w:pStyle w:val="FootnoteText"/>
      </w:pPr>
      <w:r w:rsidRPr="00490088">
        <w:rPr>
          <w:rStyle w:val="FootnoteReference"/>
        </w:rPr>
        <w:footnoteRef/>
      </w:r>
      <w:r w:rsidRPr="00490088">
        <w:t xml:space="preserve"> </w:t>
      </w:r>
      <w:r w:rsidRPr="00490088">
        <w:rPr>
          <w:iCs/>
        </w:rPr>
        <w:t>TTR 201(1), (3).</w:t>
      </w:r>
    </w:p>
  </w:footnote>
  <w:footnote w:id="3">
    <w:p w14:paraId="29A99520" w14:textId="5766760A" w:rsidR="00B53B4C" w:rsidRDefault="00B53B4C">
      <w:pPr>
        <w:pStyle w:val="FootnoteText"/>
      </w:pPr>
      <w:r>
        <w:rPr>
          <w:rStyle w:val="FootnoteReference"/>
        </w:rPr>
        <w:footnoteRef/>
      </w:r>
      <w:r>
        <w:t xml:space="preserve"> See MCL 205.735(2)</w:t>
      </w:r>
      <w:proofErr w:type="gramStart"/>
      <w:r w:rsidR="005968E8">
        <w:t xml:space="preserve">: </w:t>
      </w:r>
      <w:r>
        <w:t xml:space="preserve"> “</w:t>
      </w:r>
      <w:proofErr w:type="gramEnd"/>
      <w:r w:rsidR="005968E8">
        <w:t>A</w:t>
      </w:r>
      <w:r>
        <w:t xml:space="preserve"> proceeding before the tribunal is original and independent and is considered de novo.”</w:t>
      </w:r>
    </w:p>
  </w:footnote>
  <w:footnote w:id="4">
    <w:p w14:paraId="3F7CAE71" w14:textId="3B5EFC5A" w:rsidR="00E6366D" w:rsidRDefault="00E6366D">
      <w:pPr>
        <w:pStyle w:val="FootnoteText"/>
      </w:pPr>
      <w:r>
        <w:rPr>
          <w:rStyle w:val="FootnoteReference"/>
        </w:rPr>
        <w:footnoteRef/>
      </w:r>
      <w:r>
        <w:t xml:space="preserve"> See MTT Docket No. 25-003433.</w:t>
      </w:r>
    </w:p>
  </w:footnote>
  <w:footnote w:id="5">
    <w:p w14:paraId="50F9F96D" w14:textId="77777777" w:rsidR="00226255" w:rsidRPr="00BA0B87" w:rsidRDefault="00226255" w:rsidP="00226255">
      <w:pPr>
        <w:pStyle w:val="FootnoteText"/>
        <w:rPr>
          <w:rFonts w:cs="Arial"/>
        </w:rPr>
      </w:pPr>
      <w:r w:rsidRPr="00BA0B87">
        <w:rPr>
          <w:rStyle w:val="FootnoteReference"/>
          <w:rFonts w:cs="Arial"/>
        </w:rPr>
        <w:footnoteRef/>
      </w:r>
      <w:r w:rsidRPr="00BA0B87">
        <w:rPr>
          <w:rFonts w:cs="Arial"/>
        </w:rPr>
        <w:t xml:space="preserve"> See MCR 2.119</w:t>
      </w:r>
      <w:r>
        <w:rPr>
          <w:rFonts w:cs="Arial"/>
        </w:rPr>
        <w:t>(F)(3)</w:t>
      </w:r>
      <w:r w:rsidRPr="00BA0B87">
        <w:rPr>
          <w:rFonts w:cs="Arial"/>
        </w:rPr>
        <w:t>.</w:t>
      </w:r>
      <w:r>
        <w:rPr>
          <w:rFonts w:cs="Arial"/>
        </w:rPr>
        <w:t xml:space="preserve">  </w:t>
      </w:r>
      <w:r w:rsidRPr="00675CA8">
        <w:t xml:space="preserve">A palpable error is one that is </w:t>
      </w:r>
      <w:r>
        <w:t>“</w:t>
      </w:r>
      <w:r w:rsidRPr="00675CA8">
        <w:t>easily perceptible, plain, obvious, readily visible, noticeable, patent, distinct, or manifest</w:t>
      </w:r>
      <w:r w:rsidRPr="008159E4">
        <w:rPr>
          <w:i/>
          <w:iCs/>
        </w:rPr>
        <w:t>.</w:t>
      </w:r>
      <w:r>
        <w:rPr>
          <w:i/>
          <w:iCs/>
        </w:rPr>
        <w:t>”</w:t>
      </w:r>
      <w:r w:rsidRPr="008159E4">
        <w:rPr>
          <w:i/>
          <w:iCs/>
          <w:vertAlign w:val="superscript"/>
        </w:rPr>
        <w:t xml:space="preserve">   </w:t>
      </w:r>
      <w:r w:rsidRPr="008159E4">
        <w:rPr>
          <w:i/>
          <w:iCs/>
        </w:rPr>
        <w:t>Luckow v Luckow</w:t>
      </w:r>
      <w:r>
        <w:t xml:space="preserve">, </w:t>
      </w:r>
      <w:r w:rsidRPr="00675CA8">
        <w:t>291 Mich App 417</w:t>
      </w:r>
      <w:r>
        <w:t>, 426</w:t>
      </w:r>
      <w:r w:rsidRPr="00675CA8">
        <w:t xml:space="preserve"> (2011)</w:t>
      </w:r>
      <w:r>
        <w:t xml:space="preserve"> (quotation marks and citation omitted)</w:t>
      </w:r>
      <w:r w:rsidRPr="00675CA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98381352"/>
      <w:docPartObj>
        <w:docPartGallery w:val="Page Numbers (Top of Page)"/>
        <w:docPartUnique/>
      </w:docPartObj>
    </w:sdtPr>
    <w:sdtEndPr/>
    <w:sdtContent>
      <w:p w14:paraId="4311B45D" w14:textId="6D60772E" w:rsidR="00775E79" w:rsidRPr="00775E79" w:rsidRDefault="007A3AB0">
        <w:pPr>
          <w:pStyle w:val="Header"/>
          <w:rPr>
            <w:sz w:val="22"/>
          </w:rPr>
        </w:pPr>
        <w:r>
          <w:rPr>
            <w:sz w:val="22"/>
          </w:rPr>
          <w:t>MTT</w:t>
        </w:r>
        <w:r w:rsidR="00B44B89">
          <w:rPr>
            <w:sz w:val="22"/>
          </w:rPr>
          <w:t xml:space="preserve"> </w:t>
        </w:r>
        <w:r w:rsidR="00775E79" w:rsidRPr="00775E79">
          <w:rPr>
            <w:sz w:val="22"/>
          </w:rPr>
          <w:t xml:space="preserve">Docket No. </w:t>
        </w:r>
        <w:r w:rsidR="00267B3C">
          <w:rPr>
            <w:sz w:val="22"/>
          </w:rPr>
          <w:t>25-003436</w:t>
        </w:r>
      </w:p>
      <w:p w14:paraId="4C43E86C" w14:textId="24F0C065" w:rsidR="00775E79" w:rsidRPr="00775E79" w:rsidRDefault="00775E79">
        <w:pPr>
          <w:pStyle w:val="Header"/>
          <w:rPr>
            <w:sz w:val="22"/>
          </w:rPr>
        </w:pPr>
        <w:r w:rsidRPr="00775E79">
          <w:rPr>
            <w:sz w:val="22"/>
          </w:rPr>
          <w:t xml:space="preserve">Page </w:t>
        </w:r>
        <w:r w:rsidRPr="00775E79">
          <w:rPr>
            <w:bCs/>
            <w:sz w:val="22"/>
            <w:szCs w:val="24"/>
          </w:rPr>
          <w:fldChar w:fldCharType="begin"/>
        </w:r>
        <w:r w:rsidRPr="00775E79">
          <w:rPr>
            <w:bCs/>
            <w:sz w:val="22"/>
          </w:rPr>
          <w:instrText xml:space="preserve"> PAGE </w:instrText>
        </w:r>
        <w:r w:rsidRPr="00775E79">
          <w:rPr>
            <w:bCs/>
            <w:sz w:val="22"/>
            <w:szCs w:val="24"/>
          </w:rPr>
          <w:fldChar w:fldCharType="separate"/>
        </w:r>
        <w:r w:rsidRPr="00775E79">
          <w:rPr>
            <w:bCs/>
            <w:noProof/>
            <w:sz w:val="22"/>
          </w:rPr>
          <w:t>2</w:t>
        </w:r>
        <w:r w:rsidRPr="00775E79">
          <w:rPr>
            <w:bCs/>
            <w:sz w:val="22"/>
            <w:szCs w:val="24"/>
          </w:rPr>
          <w:fldChar w:fldCharType="end"/>
        </w:r>
        <w:r w:rsidRPr="00775E79">
          <w:rPr>
            <w:sz w:val="22"/>
          </w:rPr>
          <w:t xml:space="preserve"> of </w:t>
        </w:r>
        <w:r w:rsidRPr="00775E79">
          <w:rPr>
            <w:bCs/>
            <w:sz w:val="22"/>
            <w:szCs w:val="24"/>
          </w:rPr>
          <w:fldChar w:fldCharType="begin"/>
        </w:r>
        <w:r w:rsidRPr="00775E79">
          <w:rPr>
            <w:bCs/>
            <w:sz w:val="22"/>
          </w:rPr>
          <w:instrText xml:space="preserve"> NUMPAGES  </w:instrText>
        </w:r>
        <w:r w:rsidRPr="00775E79">
          <w:rPr>
            <w:bCs/>
            <w:sz w:val="22"/>
            <w:szCs w:val="24"/>
          </w:rPr>
          <w:fldChar w:fldCharType="separate"/>
        </w:r>
        <w:r w:rsidRPr="00775E79">
          <w:rPr>
            <w:bCs/>
            <w:noProof/>
            <w:sz w:val="22"/>
          </w:rPr>
          <w:t>2</w:t>
        </w:r>
        <w:r w:rsidRPr="00775E79">
          <w:rPr>
            <w:bCs/>
            <w:sz w:val="22"/>
            <w:szCs w:val="24"/>
          </w:rPr>
          <w:fldChar w:fldCharType="end"/>
        </w:r>
      </w:p>
    </w:sdtContent>
  </w:sdt>
  <w:p w14:paraId="0543C431" w14:textId="77777777" w:rsidR="00F2181C" w:rsidRPr="00775E79" w:rsidRDefault="00F2181C">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4A0" w:firstRow="1" w:lastRow="0" w:firstColumn="1" w:lastColumn="0" w:noHBand="0" w:noVBand="1"/>
    </w:tblPr>
    <w:tblGrid>
      <w:gridCol w:w="2075"/>
      <w:gridCol w:w="6657"/>
      <w:gridCol w:w="2068"/>
    </w:tblGrid>
    <w:tr w:rsidR="005C45DB" w14:paraId="160E1C19" w14:textId="77777777" w:rsidTr="005C45DB">
      <w:trPr>
        <w:jc w:val="center"/>
      </w:trPr>
      <w:tc>
        <w:tcPr>
          <w:tcW w:w="2160" w:type="dxa"/>
        </w:tcPr>
        <w:p w14:paraId="709F2687" w14:textId="77777777" w:rsidR="005C45DB" w:rsidRDefault="005C45DB" w:rsidP="005C45DB">
          <w:pPr>
            <w:pStyle w:val="Header"/>
          </w:pPr>
        </w:p>
      </w:tc>
      <w:tc>
        <w:tcPr>
          <w:tcW w:w="7074" w:type="dxa"/>
        </w:tcPr>
        <w:p w14:paraId="2495EAE7" w14:textId="006D3A1E" w:rsidR="005C45DB" w:rsidRDefault="005C45DB" w:rsidP="005C45DB">
          <w:pPr>
            <w:pStyle w:val="Header"/>
            <w:jc w:val="center"/>
          </w:pPr>
          <w:r>
            <w:rPr>
              <w:noProof/>
            </w:rPr>
            <w:drawing>
              <wp:inline distT="0" distB="0" distL="0" distR="0" wp14:anchorId="534A9E13" wp14:editId="4E6128F6">
                <wp:extent cx="491490" cy="569595"/>
                <wp:effectExtent l="0" t="0" r="3810" b="1905"/>
                <wp:docPr id="1166841338"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490" cy="569595"/>
                        </a:xfrm>
                        <a:prstGeom prst="rect">
                          <a:avLst/>
                        </a:prstGeom>
                        <a:noFill/>
                        <a:ln>
                          <a:noFill/>
                        </a:ln>
                      </pic:spPr>
                    </pic:pic>
                  </a:graphicData>
                </a:graphic>
              </wp:inline>
            </w:drawing>
          </w:r>
        </w:p>
        <w:p w14:paraId="26615C16" w14:textId="77777777" w:rsidR="005C45DB" w:rsidRDefault="005C45DB" w:rsidP="005C45DB">
          <w:pPr>
            <w:pStyle w:val="Header"/>
            <w:jc w:val="center"/>
            <w:rPr>
              <w:sz w:val="16"/>
              <w:szCs w:val="16"/>
            </w:rPr>
          </w:pPr>
        </w:p>
        <w:p w14:paraId="00168C5E" w14:textId="77777777" w:rsidR="005C45DB" w:rsidRDefault="005C45DB" w:rsidP="005C45DB">
          <w:pPr>
            <w:pStyle w:val="Header"/>
            <w:jc w:val="center"/>
            <w:rPr>
              <w:rFonts w:ascii="Times New Roman" w:hAnsi="Times New Roman"/>
            </w:rPr>
          </w:pPr>
          <w:r>
            <w:rPr>
              <w:rFonts w:ascii="Times New Roman" w:hAnsi="Times New Roman"/>
              <w:smallCaps/>
            </w:rPr>
            <w:t>State of Michigan</w:t>
          </w:r>
        </w:p>
      </w:tc>
      <w:tc>
        <w:tcPr>
          <w:tcW w:w="2160" w:type="dxa"/>
        </w:tcPr>
        <w:p w14:paraId="7C13937D" w14:textId="77777777" w:rsidR="005C45DB" w:rsidRDefault="005C45DB" w:rsidP="005C45DB">
          <w:pPr>
            <w:pStyle w:val="Header"/>
            <w:rPr>
              <w:rFonts w:ascii="Century Schoolbook" w:hAnsi="Century Schoolbook"/>
              <w:sz w:val="24"/>
            </w:rPr>
          </w:pPr>
        </w:p>
      </w:tc>
    </w:tr>
    <w:tr w:rsidR="005C45DB" w14:paraId="2C4ECBD4" w14:textId="77777777" w:rsidTr="005C45DB">
      <w:trPr>
        <w:trHeight w:val="288"/>
        <w:jc w:val="center"/>
      </w:trPr>
      <w:tc>
        <w:tcPr>
          <w:tcW w:w="2160" w:type="dxa"/>
          <w:hideMark/>
        </w:tcPr>
        <w:p w14:paraId="3658ABBF" w14:textId="77777777" w:rsidR="005C45DB" w:rsidRDefault="005C45DB" w:rsidP="005C45DB">
          <w:pPr>
            <w:pStyle w:val="Header"/>
            <w:jc w:val="center"/>
            <w:rPr>
              <w:rFonts w:ascii="Helvetica" w:hAnsi="Helvetica" w:cs="Arial"/>
              <w:sz w:val="16"/>
            </w:rPr>
          </w:pPr>
          <w:r>
            <w:rPr>
              <w:rFonts w:ascii="Helvetica" w:hAnsi="Helvetica" w:cs="Arial"/>
              <w:sz w:val="16"/>
            </w:rPr>
            <w:t>GRETCHEN WHITMER</w:t>
          </w:r>
        </w:p>
        <w:p w14:paraId="02C18EDD" w14:textId="77777777" w:rsidR="005C45DB" w:rsidRDefault="005C45DB" w:rsidP="005C45DB">
          <w:pPr>
            <w:pStyle w:val="Header"/>
            <w:jc w:val="center"/>
            <w:rPr>
              <w:rFonts w:ascii="Helvetica" w:hAnsi="Helvetica" w:cs="Arial"/>
              <w:sz w:val="14"/>
            </w:rPr>
          </w:pPr>
          <w:r>
            <w:rPr>
              <w:rFonts w:ascii="Helvetica" w:hAnsi="Helvetica" w:cs="Arial"/>
              <w:sz w:val="16"/>
            </w:rPr>
            <w:t>GOVERNOR</w:t>
          </w:r>
        </w:p>
      </w:tc>
      <w:tc>
        <w:tcPr>
          <w:tcW w:w="7074" w:type="dxa"/>
          <w:hideMark/>
        </w:tcPr>
        <w:p w14:paraId="56926AE8" w14:textId="77777777" w:rsidR="005C45DB" w:rsidRDefault="005C45DB" w:rsidP="005C45DB">
          <w:pPr>
            <w:pStyle w:val="Header"/>
            <w:jc w:val="center"/>
            <w:rPr>
              <w:rFonts w:ascii="Helvetica" w:hAnsi="Helvetica" w:cs="Helvetica"/>
            </w:rPr>
          </w:pPr>
          <w:r>
            <w:rPr>
              <w:rFonts w:ascii="Helvetica" w:hAnsi="Helvetica" w:cs="Helvetica"/>
            </w:rPr>
            <w:t>DEPARTMENT OF LICENSING AND REGULATORY AFFAIRS</w:t>
          </w:r>
        </w:p>
        <w:p w14:paraId="4A1C3015" w14:textId="77777777" w:rsidR="005C45DB" w:rsidRDefault="005C45DB" w:rsidP="005C45DB">
          <w:pPr>
            <w:pStyle w:val="Header"/>
            <w:jc w:val="center"/>
            <w:rPr>
              <w:rFonts w:ascii="Times New Roman" w:hAnsi="Times New Roman" w:cs="Times New Roman"/>
              <w:smallCaps/>
            </w:rPr>
          </w:pPr>
          <w:r>
            <w:rPr>
              <w:rFonts w:ascii="Times New Roman" w:hAnsi="Times New Roman"/>
              <w:smallCaps/>
            </w:rPr>
            <w:t>Lansing</w:t>
          </w:r>
        </w:p>
      </w:tc>
      <w:tc>
        <w:tcPr>
          <w:tcW w:w="2160" w:type="dxa"/>
          <w:hideMark/>
        </w:tcPr>
        <w:p w14:paraId="366D7264" w14:textId="77777777" w:rsidR="005C45DB" w:rsidRDefault="005C45DB" w:rsidP="005C45DB">
          <w:pPr>
            <w:pStyle w:val="Header"/>
            <w:jc w:val="center"/>
            <w:rPr>
              <w:rFonts w:ascii="Helvetica" w:hAnsi="Helvetica" w:cs="Arial"/>
              <w:sz w:val="14"/>
            </w:rPr>
          </w:pPr>
          <w:r>
            <w:rPr>
              <w:rFonts w:ascii="Helvetica" w:hAnsi="Helvetica" w:cs="Arial"/>
              <w:sz w:val="16"/>
            </w:rPr>
            <w:t>MARLON I. BROWN, DPA</w:t>
          </w:r>
        </w:p>
        <w:p w14:paraId="1FCA3B39" w14:textId="77777777" w:rsidR="005C45DB" w:rsidRDefault="005C45DB" w:rsidP="005C45DB">
          <w:pPr>
            <w:pStyle w:val="Header"/>
            <w:jc w:val="center"/>
            <w:rPr>
              <w:rFonts w:cs="Arial"/>
              <w:sz w:val="16"/>
              <w:szCs w:val="16"/>
            </w:rPr>
          </w:pPr>
          <w:r>
            <w:rPr>
              <w:rFonts w:ascii="Helvetica" w:hAnsi="Helvetica" w:cs="Arial"/>
              <w:sz w:val="16"/>
              <w:szCs w:val="16"/>
            </w:rPr>
            <w:t>DIRECTOR</w:t>
          </w:r>
        </w:p>
      </w:tc>
    </w:tr>
  </w:tbl>
  <w:p w14:paraId="6671D7A8" w14:textId="77777777" w:rsidR="00F2181C" w:rsidRPr="005C45DB" w:rsidRDefault="00F2181C" w:rsidP="005C45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F3"/>
    <w:rsid w:val="00001EA8"/>
    <w:rsid w:val="00004C8F"/>
    <w:rsid w:val="000123DF"/>
    <w:rsid w:val="00027FC5"/>
    <w:rsid w:val="0003085F"/>
    <w:rsid w:val="00032F75"/>
    <w:rsid w:val="000351B8"/>
    <w:rsid w:val="00046F2E"/>
    <w:rsid w:val="00063732"/>
    <w:rsid w:val="00081871"/>
    <w:rsid w:val="00090B06"/>
    <w:rsid w:val="00094167"/>
    <w:rsid w:val="000B1507"/>
    <w:rsid w:val="000C4DA8"/>
    <w:rsid w:val="000D1EFC"/>
    <w:rsid w:val="000F1963"/>
    <w:rsid w:val="00100A72"/>
    <w:rsid w:val="00127CA9"/>
    <w:rsid w:val="00133132"/>
    <w:rsid w:val="00134F11"/>
    <w:rsid w:val="00143E59"/>
    <w:rsid w:val="00162C6C"/>
    <w:rsid w:val="00177ACA"/>
    <w:rsid w:val="0019446A"/>
    <w:rsid w:val="00196A53"/>
    <w:rsid w:val="001C2F30"/>
    <w:rsid w:val="001C6BF4"/>
    <w:rsid w:val="001D0F69"/>
    <w:rsid w:val="00226255"/>
    <w:rsid w:val="00235A1E"/>
    <w:rsid w:val="00240C83"/>
    <w:rsid w:val="00247025"/>
    <w:rsid w:val="002623CC"/>
    <w:rsid w:val="00264EEE"/>
    <w:rsid w:val="00267B3C"/>
    <w:rsid w:val="00273111"/>
    <w:rsid w:val="0027620E"/>
    <w:rsid w:val="00277EAE"/>
    <w:rsid w:val="0029422B"/>
    <w:rsid w:val="002B3372"/>
    <w:rsid w:val="002B5C64"/>
    <w:rsid w:val="002C7319"/>
    <w:rsid w:val="002C7868"/>
    <w:rsid w:val="002D45E6"/>
    <w:rsid w:val="002E040D"/>
    <w:rsid w:val="003009CA"/>
    <w:rsid w:val="00300A75"/>
    <w:rsid w:val="003017D0"/>
    <w:rsid w:val="00303F01"/>
    <w:rsid w:val="0034412D"/>
    <w:rsid w:val="00346DAA"/>
    <w:rsid w:val="003630CF"/>
    <w:rsid w:val="00364641"/>
    <w:rsid w:val="00366B27"/>
    <w:rsid w:val="003722A4"/>
    <w:rsid w:val="00375801"/>
    <w:rsid w:val="00377E9D"/>
    <w:rsid w:val="00396F5C"/>
    <w:rsid w:val="003A0CE1"/>
    <w:rsid w:val="003A1F15"/>
    <w:rsid w:val="003A3C48"/>
    <w:rsid w:val="003B63DB"/>
    <w:rsid w:val="003B71D6"/>
    <w:rsid w:val="003C205F"/>
    <w:rsid w:val="003D3CCB"/>
    <w:rsid w:val="003D4CC4"/>
    <w:rsid w:val="003E2571"/>
    <w:rsid w:val="003E372E"/>
    <w:rsid w:val="003F020C"/>
    <w:rsid w:val="003F085E"/>
    <w:rsid w:val="003F50D9"/>
    <w:rsid w:val="0040000E"/>
    <w:rsid w:val="00401992"/>
    <w:rsid w:val="00404F22"/>
    <w:rsid w:val="0042254C"/>
    <w:rsid w:val="00427093"/>
    <w:rsid w:val="004320D7"/>
    <w:rsid w:val="00441D95"/>
    <w:rsid w:val="00455E21"/>
    <w:rsid w:val="00464120"/>
    <w:rsid w:val="00490088"/>
    <w:rsid w:val="004B25AF"/>
    <w:rsid w:val="004B32AC"/>
    <w:rsid w:val="004B73FC"/>
    <w:rsid w:val="004C0321"/>
    <w:rsid w:val="004E0320"/>
    <w:rsid w:val="004F3B4A"/>
    <w:rsid w:val="004F41DE"/>
    <w:rsid w:val="0051165B"/>
    <w:rsid w:val="00537934"/>
    <w:rsid w:val="0055631A"/>
    <w:rsid w:val="005606A0"/>
    <w:rsid w:val="00561A03"/>
    <w:rsid w:val="00561AA2"/>
    <w:rsid w:val="00563A65"/>
    <w:rsid w:val="00581971"/>
    <w:rsid w:val="005827EB"/>
    <w:rsid w:val="00590F90"/>
    <w:rsid w:val="005951EA"/>
    <w:rsid w:val="005968E8"/>
    <w:rsid w:val="005A0F76"/>
    <w:rsid w:val="005A23DC"/>
    <w:rsid w:val="005C1493"/>
    <w:rsid w:val="005C320E"/>
    <w:rsid w:val="005C45DB"/>
    <w:rsid w:val="005D34AB"/>
    <w:rsid w:val="005F06F9"/>
    <w:rsid w:val="005F10AF"/>
    <w:rsid w:val="006116E4"/>
    <w:rsid w:val="00613A82"/>
    <w:rsid w:val="00614925"/>
    <w:rsid w:val="0063681E"/>
    <w:rsid w:val="006410C2"/>
    <w:rsid w:val="00653961"/>
    <w:rsid w:val="0065657D"/>
    <w:rsid w:val="00657120"/>
    <w:rsid w:val="00665B80"/>
    <w:rsid w:val="00690860"/>
    <w:rsid w:val="006934A1"/>
    <w:rsid w:val="00697186"/>
    <w:rsid w:val="00697445"/>
    <w:rsid w:val="00721075"/>
    <w:rsid w:val="00727268"/>
    <w:rsid w:val="00741409"/>
    <w:rsid w:val="007448C7"/>
    <w:rsid w:val="007526E5"/>
    <w:rsid w:val="00754842"/>
    <w:rsid w:val="00757959"/>
    <w:rsid w:val="00761286"/>
    <w:rsid w:val="00775E79"/>
    <w:rsid w:val="007A292F"/>
    <w:rsid w:val="007A3AB0"/>
    <w:rsid w:val="007A7AAF"/>
    <w:rsid w:val="007B16BA"/>
    <w:rsid w:val="007B2AD8"/>
    <w:rsid w:val="007C701C"/>
    <w:rsid w:val="007D423B"/>
    <w:rsid w:val="007D4ADE"/>
    <w:rsid w:val="007E0927"/>
    <w:rsid w:val="007E4357"/>
    <w:rsid w:val="008002F0"/>
    <w:rsid w:val="0081321F"/>
    <w:rsid w:val="00814312"/>
    <w:rsid w:val="00816A4B"/>
    <w:rsid w:val="0081795F"/>
    <w:rsid w:val="00823A4D"/>
    <w:rsid w:val="00833153"/>
    <w:rsid w:val="00847F93"/>
    <w:rsid w:val="0089384D"/>
    <w:rsid w:val="008A3C0F"/>
    <w:rsid w:val="008B1ED9"/>
    <w:rsid w:val="008B49A7"/>
    <w:rsid w:val="008C4FBC"/>
    <w:rsid w:val="008C6C34"/>
    <w:rsid w:val="008D73A8"/>
    <w:rsid w:val="008E7481"/>
    <w:rsid w:val="00916018"/>
    <w:rsid w:val="00931D13"/>
    <w:rsid w:val="00936C65"/>
    <w:rsid w:val="009434B1"/>
    <w:rsid w:val="00947E6F"/>
    <w:rsid w:val="00953366"/>
    <w:rsid w:val="009709C9"/>
    <w:rsid w:val="0097747C"/>
    <w:rsid w:val="00982253"/>
    <w:rsid w:val="009B32B3"/>
    <w:rsid w:val="009B55A5"/>
    <w:rsid w:val="009C4060"/>
    <w:rsid w:val="009D7B90"/>
    <w:rsid w:val="009E78E6"/>
    <w:rsid w:val="00A11A86"/>
    <w:rsid w:val="00A461D6"/>
    <w:rsid w:val="00A67469"/>
    <w:rsid w:val="00A74CE8"/>
    <w:rsid w:val="00A84EA2"/>
    <w:rsid w:val="00A90855"/>
    <w:rsid w:val="00A93FBF"/>
    <w:rsid w:val="00AA374B"/>
    <w:rsid w:val="00AB3D58"/>
    <w:rsid w:val="00AC3B06"/>
    <w:rsid w:val="00AC72EF"/>
    <w:rsid w:val="00AE43BB"/>
    <w:rsid w:val="00B10B11"/>
    <w:rsid w:val="00B24B01"/>
    <w:rsid w:val="00B256E9"/>
    <w:rsid w:val="00B271CA"/>
    <w:rsid w:val="00B34433"/>
    <w:rsid w:val="00B44B89"/>
    <w:rsid w:val="00B45E32"/>
    <w:rsid w:val="00B53B4C"/>
    <w:rsid w:val="00B62666"/>
    <w:rsid w:val="00B727B5"/>
    <w:rsid w:val="00B8033A"/>
    <w:rsid w:val="00B949AC"/>
    <w:rsid w:val="00BA423C"/>
    <w:rsid w:val="00BB392E"/>
    <w:rsid w:val="00BD7023"/>
    <w:rsid w:val="00BE14C4"/>
    <w:rsid w:val="00BE3CE6"/>
    <w:rsid w:val="00BF20F3"/>
    <w:rsid w:val="00BF3E99"/>
    <w:rsid w:val="00BF5363"/>
    <w:rsid w:val="00C03EA0"/>
    <w:rsid w:val="00C250A3"/>
    <w:rsid w:val="00C44E0B"/>
    <w:rsid w:val="00C635BD"/>
    <w:rsid w:val="00C6569D"/>
    <w:rsid w:val="00C8216E"/>
    <w:rsid w:val="00C85923"/>
    <w:rsid w:val="00C927A1"/>
    <w:rsid w:val="00C93C16"/>
    <w:rsid w:val="00CF047F"/>
    <w:rsid w:val="00CF1CAD"/>
    <w:rsid w:val="00CF5368"/>
    <w:rsid w:val="00CF61F2"/>
    <w:rsid w:val="00D04011"/>
    <w:rsid w:val="00D138D6"/>
    <w:rsid w:val="00D139BE"/>
    <w:rsid w:val="00D14F1C"/>
    <w:rsid w:val="00D37475"/>
    <w:rsid w:val="00D6412F"/>
    <w:rsid w:val="00D80935"/>
    <w:rsid w:val="00D841B3"/>
    <w:rsid w:val="00D922B1"/>
    <w:rsid w:val="00DD32E6"/>
    <w:rsid w:val="00DE7DE3"/>
    <w:rsid w:val="00DF0133"/>
    <w:rsid w:val="00DF42BF"/>
    <w:rsid w:val="00DF7556"/>
    <w:rsid w:val="00E0198A"/>
    <w:rsid w:val="00E02272"/>
    <w:rsid w:val="00E07C27"/>
    <w:rsid w:val="00E14FB8"/>
    <w:rsid w:val="00E22F2D"/>
    <w:rsid w:val="00E23EAD"/>
    <w:rsid w:val="00E32C75"/>
    <w:rsid w:val="00E3350F"/>
    <w:rsid w:val="00E443E4"/>
    <w:rsid w:val="00E448F4"/>
    <w:rsid w:val="00E4682B"/>
    <w:rsid w:val="00E55600"/>
    <w:rsid w:val="00E6366D"/>
    <w:rsid w:val="00E8030A"/>
    <w:rsid w:val="00E81A7D"/>
    <w:rsid w:val="00EA5150"/>
    <w:rsid w:val="00EA6A08"/>
    <w:rsid w:val="00EC496B"/>
    <w:rsid w:val="00EE42BE"/>
    <w:rsid w:val="00EE5DE0"/>
    <w:rsid w:val="00EF1261"/>
    <w:rsid w:val="00F21760"/>
    <w:rsid w:val="00F2181C"/>
    <w:rsid w:val="00F24B8E"/>
    <w:rsid w:val="00F355E1"/>
    <w:rsid w:val="00F50416"/>
    <w:rsid w:val="00F60B6E"/>
    <w:rsid w:val="00F90510"/>
    <w:rsid w:val="00F92F8D"/>
    <w:rsid w:val="00F94C39"/>
    <w:rsid w:val="00FA0163"/>
    <w:rsid w:val="00FA1C80"/>
    <w:rsid w:val="00FA1E51"/>
    <w:rsid w:val="00FA29F4"/>
    <w:rsid w:val="00FB3C52"/>
    <w:rsid w:val="00FC2660"/>
    <w:rsid w:val="00FD1C3A"/>
    <w:rsid w:val="00FE27FC"/>
    <w:rsid w:val="00FE6166"/>
    <w:rsid w:val="00FF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A1832"/>
  <w15:chartTrackingRefBased/>
  <w15:docId w15:val="{A33A32DC-C292-4F05-BE00-D61997D7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181C"/>
    <w:pPr>
      <w:tabs>
        <w:tab w:val="center" w:pos="4680"/>
        <w:tab w:val="right" w:pos="9360"/>
      </w:tabs>
    </w:pPr>
  </w:style>
  <w:style w:type="character" w:customStyle="1" w:styleId="HeaderChar">
    <w:name w:val="Header Char"/>
    <w:basedOn w:val="DefaultParagraphFont"/>
    <w:link w:val="Header"/>
    <w:rsid w:val="00F218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181C"/>
    <w:pPr>
      <w:tabs>
        <w:tab w:val="center" w:pos="4680"/>
        <w:tab w:val="right" w:pos="9360"/>
      </w:tabs>
    </w:pPr>
  </w:style>
  <w:style w:type="character" w:customStyle="1" w:styleId="FooterChar">
    <w:name w:val="Footer Char"/>
    <w:basedOn w:val="DefaultParagraphFont"/>
    <w:link w:val="Footer"/>
    <w:uiPriority w:val="99"/>
    <w:rsid w:val="00F2181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0198A"/>
  </w:style>
  <w:style w:type="character" w:customStyle="1" w:styleId="FootnoteTextChar">
    <w:name w:val="Footnote Text Char"/>
    <w:basedOn w:val="DefaultParagraphFont"/>
    <w:link w:val="FootnoteText"/>
    <w:uiPriority w:val="99"/>
    <w:semiHidden/>
    <w:rsid w:val="00E0198A"/>
    <w:rPr>
      <w:rFonts w:ascii="Times New Roman" w:eastAsia="Times New Roman" w:hAnsi="Times New Roman" w:cs="Times New Roman"/>
    </w:rPr>
  </w:style>
  <w:style w:type="character" w:styleId="FootnoteReference">
    <w:name w:val="footnote reference"/>
    <w:basedOn w:val="DefaultParagraphFont"/>
    <w:unhideWhenUsed/>
    <w:rsid w:val="00E0198A"/>
    <w:rPr>
      <w:vertAlign w:val="superscript"/>
    </w:rPr>
  </w:style>
  <w:style w:type="character" w:styleId="Hyperlink">
    <w:name w:val="Hyperlink"/>
    <w:rsid w:val="00C635BD"/>
    <w:rPr>
      <w:color w:val="0000FF"/>
      <w:u w:val="single"/>
    </w:rPr>
  </w:style>
  <w:style w:type="paragraph" w:styleId="Revision">
    <w:name w:val="Revision"/>
    <w:hidden/>
    <w:uiPriority w:val="99"/>
    <w:semiHidden/>
    <w:rsid w:val="00B45E32"/>
  </w:style>
  <w:style w:type="character" w:styleId="CommentReference">
    <w:name w:val="annotation reference"/>
    <w:basedOn w:val="DefaultParagraphFont"/>
    <w:uiPriority w:val="99"/>
    <w:semiHidden/>
    <w:unhideWhenUsed/>
    <w:rsid w:val="00B45E32"/>
    <w:rPr>
      <w:sz w:val="16"/>
      <w:szCs w:val="16"/>
    </w:rPr>
  </w:style>
  <w:style w:type="paragraph" w:styleId="CommentText">
    <w:name w:val="annotation text"/>
    <w:basedOn w:val="Normal"/>
    <w:link w:val="CommentTextChar"/>
    <w:uiPriority w:val="99"/>
    <w:unhideWhenUsed/>
    <w:rsid w:val="00B45E32"/>
  </w:style>
  <w:style w:type="character" w:customStyle="1" w:styleId="CommentTextChar">
    <w:name w:val="Comment Text Char"/>
    <w:basedOn w:val="DefaultParagraphFont"/>
    <w:link w:val="CommentText"/>
    <w:uiPriority w:val="99"/>
    <w:rsid w:val="00B45E32"/>
  </w:style>
  <w:style w:type="paragraph" w:styleId="CommentSubject">
    <w:name w:val="annotation subject"/>
    <w:basedOn w:val="CommentText"/>
    <w:next w:val="CommentText"/>
    <w:link w:val="CommentSubjectChar"/>
    <w:uiPriority w:val="99"/>
    <w:semiHidden/>
    <w:unhideWhenUsed/>
    <w:rsid w:val="00B45E32"/>
    <w:rPr>
      <w:b/>
      <w:bCs/>
    </w:rPr>
  </w:style>
  <w:style w:type="character" w:customStyle="1" w:styleId="CommentSubjectChar">
    <w:name w:val="Comment Subject Char"/>
    <w:basedOn w:val="CommentTextChar"/>
    <w:link w:val="CommentSubject"/>
    <w:uiPriority w:val="99"/>
    <w:semiHidden/>
    <w:rsid w:val="00B45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16712">
      <w:bodyDiv w:val="1"/>
      <w:marLeft w:val="0"/>
      <w:marRight w:val="0"/>
      <w:marTop w:val="0"/>
      <w:marBottom w:val="0"/>
      <w:divBdr>
        <w:top w:val="none" w:sz="0" w:space="0" w:color="auto"/>
        <w:left w:val="none" w:sz="0" w:space="0" w:color="auto"/>
        <w:bottom w:val="none" w:sz="0" w:space="0" w:color="auto"/>
        <w:right w:val="none" w:sz="0" w:space="0" w:color="auto"/>
      </w:divBdr>
    </w:div>
    <w:div w:id="432364462">
      <w:bodyDiv w:val="1"/>
      <w:marLeft w:val="0"/>
      <w:marRight w:val="0"/>
      <w:marTop w:val="0"/>
      <w:marBottom w:val="0"/>
      <w:divBdr>
        <w:top w:val="none" w:sz="0" w:space="0" w:color="auto"/>
        <w:left w:val="none" w:sz="0" w:space="0" w:color="auto"/>
        <w:bottom w:val="none" w:sz="0" w:space="0" w:color="auto"/>
        <w:right w:val="none" w:sz="0" w:space="0" w:color="auto"/>
      </w:divBdr>
    </w:div>
    <w:div w:id="945847860">
      <w:bodyDiv w:val="1"/>
      <w:marLeft w:val="0"/>
      <w:marRight w:val="0"/>
      <w:marTop w:val="0"/>
      <w:marBottom w:val="0"/>
      <w:divBdr>
        <w:top w:val="none" w:sz="0" w:space="0" w:color="auto"/>
        <w:left w:val="none" w:sz="0" w:space="0" w:color="auto"/>
        <w:bottom w:val="none" w:sz="0" w:space="0" w:color="auto"/>
        <w:right w:val="none" w:sz="0" w:space="0" w:color="auto"/>
      </w:divBdr>
    </w:div>
    <w:div w:id="950018104">
      <w:bodyDiv w:val="1"/>
      <w:marLeft w:val="0"/>
      <w:marRight w:val="0"/>
      <w:marTop w:val="0"/>
      <w:marBottom w:val="0"/>
      <w:divBdr>
        <w:top w:val="none" w:sz="0" w:space="0" w:color="auto"/>
        <w:left w:val="none" w:sz="0" w:space="0" w:color="auto"/>
        <w:bottom w:val="none" w:sz="0" w:space="0" w:color="auto"/>
        <w:right w:val="none" w:sz="0" w:space="0" w:color="auto"/>
      </w:divBdr>
    </w:div>
    <w:div w:id="1012344940">
      <w:bodyDiv w:val="1"/>
      <w:marLeft w:val="0"/>
      <w:marRight w:val="0"/>
      <w:marTop w:val="0"/>
      <w:marBottom w:val="0"/>
      <w:divBdr>
        <w:top w:val="none" w:sz="0" w:space="0" w:color="auto"/>
        <w:left w:val="none" w:sz="0" w:space="0" w:color="auto"/>
        <w:bottom w:val="none" w:sz="0" w:space="0" w:color="auto"/>
        <w:right w:val="none" w:sz="0" w:space="0" w:color="auto"/>
      </w:divBdr>
    </w:div>
    <w:div w:id="1067916255">
      <w:bodyDiv w:val="1"/>
      <w:marLeft w:val="0"/>
      <w:marRight w:val="0"/>
      <w:marTop w:val="0"/>
      <w:marBottom w:val="0"/>
      <w:divBdr>
        <w:top w:val="none" w:sz="0" w:space="0" w:color="auto"/>
        <w:left w:val="none" w:sz="0" w:space="0" w:color="auto"/>
        <w:bottom w:val="none" w:sz="0" w:space="0" w:color="auto"/>
        <w:right w:val="none" w:sz="0" w:space="0" w:color="auto"/>
      </w:divBdr>
    </w:div>
    <w:div w:id="1352877621">
      <w:bodyDiv w:val="1"/>
      <w:marLeft w:val="0"/>
      <w:marRight w:val="0"/>
      <w:marTop w:val="0"/>
      <w:marBottom w:val="0"/>
      <w:divBdr>
        <w:top w:val="none" w:sz="0" w:space="0" w:color="auto"/>
        <w:left w:val="none" w:sz="0" w:space="0" w:color="auto"/>
        <w:bottom w:val="none" w:sz="0" w:space="0" w:color="auto"/>
        <w:right w:val="none" w:sz="0" w:space="0" w:color="auto"/>
      </w:divBdr>
    </w:div>
    <w:div w:id="1801606470">
      <w:bodyDiv w:val="1"/>
      <w:marLeft w:val="0"/>
      <w:marRight w:val="0"/>
      <w:marTop w:val="0"/>
      <w:marBottom w:val="0"/>
      <w:divBdr>
        <w:top w:val="none" w:sz="0" w:space="0" w:color="auto"/>
        <w:left w:val="none" w:sz="0" w:space="0" w:color="auto"/>
        <w:bottom w:val="none" w:sz="0" w:space="0" w:color="auto"/>
        <w:right w:val="none" w:sz="0" w:space="0" w:color="auto"/>
      </w:divBdr>
    </w:div>
    <w:div w:id="1891452360">
      <w:bodyDiv w:val="1"/>
      <w:marLeft w:val="0"/>
      <w:marRight w:val="0"/>
      <w:marTop w:val="0"/>
      <w:marBottom w:val="0"/>
      <w:divBdr>
        <w:top w:val="none" w:sz="0" w:space="0" w:color="auto"/>
        <w:left w:val="none" w:sz="0" w:space="0" w:color="auto"/>
        <w:bottom w:val="none" w:sz="0" w:space="0" w:color="auto"/>
        <w:right w:val="none" w:sz="0" w:space="0" w:color="auto"/>
      </w:divBdr>
    </w:div>
    <w:div w:id="194140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bit.ly%2F34fBXnN&amp;data=04%7C01%7CGleklerE%40michigan.gov%7C2e4603fdb0724b5b8cb408d99dba3895%7Cd5fb7087377742ad966a892ef47225d1%7C0%7C0%7C637714253836999228%7CUnknown%7CTWFpbGZsb3d8eyJWIjoiMC4wLjAwMDAiLCJQIjoiV2luMzIiLCJBTiI6Ik1haWwiLCJXVCI6Mn0%3D%7C1000&amp;sdata=s2U4pbl0aPdc43nZ1AlQu%2FieRQ5tnUweGPMEfCz8Shs%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12485090316,,61415545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BD450-82CE-4E2B-AB8B-87928ED47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7794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Margeson, Wesley (LARA)</dc:creator>
  <cp:keywords/>
  <dc:description/>
  <cp:lastModifiedBy>Speckin, Savannah (LARA)</cp:lastModifiedBy>
  <cp:revision>2</cp:revision>
  <dcterms:created xsi:type="dcterms:W3CDTF">2026-07-16T17:02:00Z</dcterms:created>
  <dcterms:modified xsi:type="dcterms:W3CDTF">2026-07-16T17:02:00Z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2021-08-26T14:34:41Z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e03d2c77-fd7a-4b35-8974-57b86b714ac0</vt:lpwstr>
  </property>
  <property fmtid="{D5CDD505-2E9C-101B-9397-08002B2CF9AE}" pid="8" name="MSIP_Label_3a2fed65-62e7-46ea-af74-187e0c17143a_ContentBits">
    <vt:lpwstr>0</vt:lpwstr>
  </property>
</Properties>
</file>