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7B5FF7C7" w:rsidR="007F516F" w:rsidRPr="007B60CF" w:rsidRDefault="007173BE" w:rsidP="007F516F">
      <w:pPr>
        <w:rPr>
          <w:rFonts w:ascii="Arial" w:hAnsi="Arial" w:cs="Arial"/>
        </w:rPr>
      </w:pPr>
      <w:r>
        <w:rPr>
          <w:rFonts w:ascii="Arial" w:hAnsi="Arial" w:cs="Arial"/>
        </w:rPr>
        <w:t>LivWell Michigan LLC</w:t>
      </w:r>
      <w:r w:rsidR="007F516F" w:rsidRPr="007B60CF">
        <w:rPr>
          <w:rFonts w:ascii="Arial" w:hAnsi="Arial" w:cs="Arial"/>
        </w:rPr>
        <w:t>,</w:t>
      </w:r>
    </w:p>
    <w:p w14:paraId="4F062315" w14:textId="77777777"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MICHIGAN TAX TRIBUNAL</w:t>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5D5B0009"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7173BE">
        <w:rPr>
          <w:rFonts w:ascii="Arial" w:hAnsi="Arial" w:cs="Arial"/>
        </w:rPr>
        <w:t>24-003348</w:t>
      </w:r>
      <w:r w:rsidRPr="007B60CF">
        <w:rPr>
          <w:rFonts w:ascii="Arial" w:hAnsi="Arial" w:cs="Arial"/>
        </w:rPr>
        <w:t xml:space="preserve"> </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644002F7" w:rsidR="007F516F" w:rsidRPr="007B60CF" w:rsidRDefault="007173BE" w:rsidP="007F516F">
      <w:pPr>
        <w:tabs>
          <w:tab w:val="left" w:pos="5580"/>
        </w:tabs>
        <w:rPr>
          <w:rFonts w:ascii="Arial" w:hAnsi="Arial" w:cs="Arial"/>
        </w:rPr>
      </w:pPr>
      <w:r>
        <w:rPr>
          <w:rFonts w:ascii="Arial" w:hAnsi="Arial" w:cs="Arial"/>
        </w:rPr>
        <w:t>City of Warren</w:t>
      </w:r>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4D560AEE"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7173BE">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0F8212E7" w:rsidR="007F516F" w:rsidRDefault="007F516F" w:rsidP="000D3569">
      <w:pPr>
        <w:rPr>
          <w:rFonts w:ascii="Arial" w:hAnsi="Arial" w:cs="Arial"/>
        </w:rPr>
      </w:pPr>
      <w:r w:rsidRPr="00B1444D">
        <w:rPr>
          <w:rFonts w:ascii="Arial" w:hAnsi="Arial" w:cs="Arial"/>
        </w:rPr>
        <w:t xml:space="preserve">A Prehearing Conference on this matter was held on </w:t>
      </w:r>
      <w:r w:rsidR="007173BE">
        <w:rPr>
          <w:rFonts w:ascii="Arial" w:hAnsi="Arial" w:cs="Arial"/>
        </w:rPr>
        <w:t>May 29, 2026</w:t>
      </w:r>
      <w:r w:rsidRPr="00B1444D">
        <w:rPr>
          <w:rFonts w:ascii="Arial" w:hAnsi="Arial" w:cs="Arial"/>
        </w:rPr>
        <w:t xml:space="preserve">. </w:t>
      </w:r>
      <w:r w:rsidR="00543BB2">
        <w:rPr>
          <w:rFonts w:ascii="Arial" w:hAnsi="Arial" w:cs="Arial"/>
        </w:rPr>
        <w:t xml:space="preserve"> </w:t>
      </w:r>
      <w:r w:rsidR="007173BE">
        <w:rPr>
          <w:rFonts w:ascii="Arial" w:hAnsi="Arial" w:cs="Arial"/>
        </w:rPr>
        <w:t xml:space="preserve">James Kane and Nancy O’Brien-Kane </w:t>
      </w:r>
      <w:r w:rsidRPr="00B1444D">
        <w:rPr>
          <w:rFonts w:ascii="Arial" w:hAnsi="Arial" w:cs="Arial"/>
        </w:rPr>
        <w:t xml:space="preserve">appeared on behalf of Petitioner. </w:t>
      </w:r>
      <w:r w:rsidR="007173BE">
        <w:rPr>
          <w:rFonts w:ascii="Arial" w:hAnsi="Arial" w:cs="Arial"/>
        </w:rPr>
        <w:t xml:space="preserve"> Seth A. O’Loughlin</w:t>
      </w:r>
      <w:r w:rsidRPr="00B1444D">
        <w:rPr>
          <w:rFonts w:ascii="Arial" w:hAnsi="Arial" w:cs="Arial"/>
        </w:rPr>
        <w:t xml:space="preserve"> appeared on behalf of Respondent. </w:t>
      </w:r>
      <w:r w:rsidR="007173BE">
        <w:rPr>
          <w:rFonts w:ascii="Arial" w:hAnsi="Arial" w:cs="Arial"/>
        </w:rPr>
        <w:t xml:space="preserve"> </w:t>
      </w:r>
      <w:r w:rsidRPr="00B1444D">
        <w:rPr>
          <w:rFonts w:ascii="Arial" w:hAnsi="Arial" w:cs="Arial"/>
        </w:rPr>
        <w:t>A scheduling order has been established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644"/>
      </w:tblGrid>
      <w:tr w:rsidR="007F516F" w:rsidRPr="00B1444D" w14:paraId="1F6A5756" w14:textId="77777777" w:rsidTr="00C410ED">
        <w:trPr>
          <w:trHeight w:val="332"/>
          <w:jc w:val="center"/>
        </w:trPr>
        <w:tc>
          <w:tcPr>
            <w:tcW w:w="2706"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4" w:type="dxa"/>
            <w:vAlign w:val="center"/>
          </w:tcPr>
          <w:p w14:paraId="3DFCC15A" w14:textId="04EF1BE6" w:rsidR="007F516F" w:rsidRPr="00B1444D" w:rsidRDefault="007173BE" w:rsidP="008A040D">
            <w:pPr>
              <w:rPr>
                <w:rFonts w:ascii="Arial" w:hAnsi="Arial" w:cs="Arial"/>
                <w:bCs/>
              </w:rPr>
            </w:pPr>
            <w:r>
              <w:rPr>
                <w:rFonts w:ascii="Arial" w:hAnsi="Arial" w:cs="Arial"/>
                <w:bCs/>
              </w:rPr>
              <w:t>September 8, 9, 10, and 11, 2026</w:t>
            </w:r>
          </w:p>
          <w:p w14:paraId="24926646" w14:textId="77777777" w:rsidR="007F516F" w:rsidRPr="00B1444D" w:rsidRDefault="007F516F" w:rsidP="008A040D">
            <w:pPr>
              <w:rPr>
                <w:rFonts w:ascii="Arial" w:hAnsi="Arial" w:cs="Arial"/>
              </w:rPr>
            </w:pPr>
          </w:p>
        </w:tc>
      </w:tr>
      <w:tr w:rsidR="007F516F" w:rsidRPr="00B1444D" w14:paraId="5B445F41" w14:textId="77777777" w:rsidTr="00C410ED">
        <w:trPr>
          <w:jc w:val="center"/>
        </w:trPr>
        <w:tc>
          <w:tcPr>
            <w:tcW w:w="2706"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4" w:type="dxa"/>
            <w:vAlign w:val="bottom"/>
          </w:tcPr>
          <w:p w14:paraId="54D3C549" w14:textId="6D2FC288"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EST</w:t>
            </w:r>
          </w:p>
        </w:tc>
      </w:tr>
      <w:tr w:rsidR="007F516F" w:rsidRPr="00B1444D" w14:paraId="3809B050" w14:textId="77777777" w:rsidTr="00C410ED">
        <w:trPr>
          <w:trHeight w:val="710"/>
          <w:jc w:val="center"/>
        </w:trPr>
        <w:tc>
          <w:tcPr>
            <w:tcW w:w="2706"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4"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46F49A94" w14:textId="77777777" w:rsidR="007474D3" w:rsidRDefault="007474D3" w:rsidP="00D004AB">
      <w:pPr>
        <w:ind w:left="360"/>
        <w:rPr>
          <w:b/>
        </w:rPr>
      </w:pPr>
    </w:p>
    <w:p w14:paraId="5E893FBE" w14:textId="77777777" w:rsidR="007474D3" w:rsidRDefault="007474D3" w:rsidP="00D004AB">
      <w:pPr>
        <w:ind w:left="360"/>
        <w:rPr>
          <w:b/>
        </w:rPr>
      </w:pPr>
    </w:p>
    <w:p w14:paraId="04535EF7" w14:textId="77777777" w:rsidR="009F6C2D" w:rsidRDefault="009F6C2D" w:rsidP="00D004AB">
      <w:pPr>
        <w:jc w:val="center"/>
        <w:rPr>
          <w:rFonts w:ascii="Arial" w:hAnsi="Arial" w:cs="Arial"/>
          <w:b/>
        </w:rPr>
      </w:pPr>
    </w:p>
    <w:p w14:paraId="702C174E" w14:textId="77777777" w:rsidR="009F6C2D" w:rsidRDefault="009F6C2D" w:rsidP="00D004AB">
      <w:pPr>
        <w:jc w:val="center"/>
        <w:rPr>
          <w:rFonts w:ascii="Arial" w:hAnsi="Arial" w:cs="Arial"/>
          <w:b/>
        </w:rPr>
      </w:pPr>
    </w:p>
    <w:p w14:paraId="56C41383" w14:textId="0D6ED69E"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03E15B51"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7173BE">
        <w:rPr>
          <w:rFonts w:ascii="Arial" w:hAnsi="Arial" w:cs="Arial"/>
        </w:rPr>
        <w:tab/>
      </w:r>
      <w:r w:rsidR="007173BE">
        <w:rPr>
          <w:rFonts w:ascii="Arial" w:hAnsi="Arial" w:cs="Arial"/>
        </w:rPr>
        <w:tab/>
      </w:r>
      <w:r w:rsidR="00F731E3">
        <w:rPr>
          <w:rFonts w:ascii="Arial" w:hAnsi="Arial" w:cs="Arial"/>
        </w:rPr>
        <w:t>12-99-02-218-075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063D2468" w:rsidR="00432172" w:rsidRPr="00B62663" w:rsidRDefault="007173BE" w:rsidP="00AD586A">
            <w:pPr>
              <w:pStyle w:val="ListParagraph"/>
              <w:autoSpaceDE w:val="0"/>
              <w:autoSpaceDN w:val="0"/>
              <w:adjustRightInd w:val="0"/>
              <w:ind w:left="0"/>
              <w:rPr>
                <w:rFonts w:ascii="Arial" w:hAnsi="Arial" w:cs="Arial"/>
              </w:rPr>
            </w:pPr>
            <w:r>
              <w:rPr>
                <w:rFonts w:ascii="Arial" w:hAnsi="Arial" w:cs="Arial"/>
              </w:rPr>
              <w:t>2021</w:t>
            </w:r>
          </w:p>
        </w:tc>
        <w:tc>
          <w:tcPr>
            <w:tcW w:w="1250" w:type="pct"/>
          </w:tcPr>
          <w:p w14:paraId="68DB6E0F" w14:textId="4354CA24" w:rsidR="00432172" w:rsidRPr="00B62663" w:rsidRDefault="002551D3" w:rsidP="00AD586A">
            <w:pPr>
              <w:pStyle w:val="ListParagraph"/>
              <w:autoSpaceDE w:val="0"/>
              <w:autoSpaceDN w:val="0"/>
              <w:adjustRightInd w:val="0"/>
              <w:ind w:left="0"/>
              <w:rPr>
                <w:rFonts w:ascii="Arial" w:hAnsi="Arial" w:cs="Arial"/>
              </w:rPr>
            </w:pPr>
            <w:r>
              <w:rPr>
                <w:rFonts w:ascii="Arial" w:hAnsi="Arial" w:cs="Arial"/>
              </w:rPr>
              <w:t>$30,000,000</w:t>
            </w:r>
          </w:p>
        </w:tc>
        <w:tc>
          <w:tcPr>
            <w:tcW w:w="1250" w:type="pct"/>
          </w:tcPr>
          <w:p w14:paraId="451A3414" w14:textId="565C9BE9" w:rsidR="00432172" w:rsidRPr="00B62663" w:rsidRDefault="002551D3" w:rsidP="00AD586A">
            <w:pPr>
              <w:pStyle w:val="ListParagraph"/>
              <w:autoSpaceDE w:val="0"/>
              <w:autoSpaceDN w:val="0"/>
              <w:adjustRightInd w:val="0"/>
              <w:ind w:left="0"/>
              <w:rPr>
                <w:rFonts w:ascii="Arial" w:hAnsi="Arial" w:cs="Arial"/>
              </w:rPr>
            </w:pPr>
            <w:r>
              <w:rPr>
                <w:rFonts w:ascii="Arial" w:hAnsi="Arial" w:cs="Arial"/>
              </w:rPr>
              <w:t>$15,000,000</w:t>
            </w:r>
          </w:p>
        </w:tc>
        <w:tc>
          <w:tcPr>
            <w:tcW w:w="1250" w:type="pct"/>
          </w:tcPr>
          <w:p w14:paraId="194CBC0F" w14:textId="5C7CFD31" w:rsidR="00432172" w:rsidRPr="00B62663" w:rsidRDefault="002551D3" w:rsidP="00AD586A">
            <w:pPr>
              <w:pStyle w:val="ListParagraph"/>
              <w:autoSpaceDE w:val="0"/>
              <w:autoSpaceDN w:val="0"/>
              <w:adjustRightInd w:val="0"/>
              <w:ind w:left="0"/>
              <w:rPr>
                <w:rFonts w:ascii="Arial" w:hAnsi="Arial" w:cs="Arial"/>
              </w:rPr>
            </w:pPr>
            <w:r>
              <w:rPr>
                <w:rFonts w:ascii="Arial" w:hAnsi="Arial" w:cs="Arial"/>
              </w:rPr>
              <w:t>$15,000,000</w:t>
            </w:r>
          </w:p>
        </w:tc>
      </w:tr>
    </w:tbl>
    <w:p w14:paraId="6A6044BB" w14:textId="77777777" w:rsidR="007173BE" w:rsidRPr="00B62663" w:rsidRDefault="007173BE" w:rsidP="00432172">
      <w:pPr>
        <w:pStyle w:val="ListParagraph"/>
        <w:autoSpaceDE w:val="0"/>
        <w:autoSpaceDN w:val="0"/>
        <w:adjustRightInd w:val="0"/>
        <w:ind w:left="0"/>
        <w:rPr>
          <w:rFonts w:ascii="Arial" w:hAnsi="Arial" w:cs="Arial"/>
        </w:rPr>
      </w:pPr>
    </w:p>
    <w:p w14:paraId="63CE35FD" w14:textId="6147D173"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5005060C"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7173BE">
        <w:rPr>
          <w:rFonts w:ascii="Arial" w:hAnsi="Arial" w:cs="Arial"/>
        </w:rPr>
        <w:tab/>
      </w:r>
      <w:r w:rsidR="007173BE">
        <w:rPr>
          <w:rFonts w:ascii="Arial" w:hAnsi="Arial" w:cs="Arial"/>
        </w:rPr>
        <w:tab/>
      </w:r>
      <w:r w:rsidR="00F731E3">
        <w:rPr>
          <w:rFonts w:ascii="Arial" w:hAnsi="Arial" w:cs="Arial"/>
        </w:rPr>
        <w:t>12-99-02-218-075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30"/>
        <w:gridCol w:w="1030"/>
        <w:gridCol w:w="1030"/>
        <w:gridCol w:w="1551"/>
        <w:gridCol w:w="1551"/>
        <w:gridCol w:w="1551"/>
      </w:tblGrid>
      <w:tr w:rsidR="00432172" w:rsidRPr="00B62663" w14:paraId="66968265" w14:textId="77777777" w:rsidTr="007173BE">
        <w:trPr>
          <w:trHeight w:val="321"/>
        </w:trPr>
        <w:tc>
          <w:tcPr>
            <w:tcW w:w="714"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143"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144"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432172" w:rsidRPr="00B62663" w14:paraId="74DFDEA3" w14:textId="77777777" w:rsidTr="00AD586A">
        <w:trPr>
          <w:trHeight w:val="321"/>
        </w:trPr>
        <w:tc>
          <w:tcPr>
            <w:tcW w:w="714"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714"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15"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14"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714"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14"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15"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1CED017A" w14:textId="77777777" w:rsidTr="00AD586A">
        <w:trPr>
          <w:trHeight w:val="321"/>
        </w:trPr>
        <w:tc>
          <w:tcPr>
            <w:tcW w:w="714" w:type="pct"/>
          </w:tcPr>
          <w:p w14:paraId="4B6D0AE0" w14:textId="14E5B3FF" w:rsidR="00432172" w:rsidRPr="00B62663" w:rsidRDefault="007173BE" w:rsidP="00AD586A">
            <w:pPr>
              <w:pStyle w:val="ListParagraph"/>
              <w:autoSpaceDE w:val="0"/>
              <w:autoSpaceDN w:val="0"/>
              <w:adjustRightInd w:val="0"/>
              <w:ind w:left="0"/>
              <w:rPr>
                <w:rFonts w:ascii="Arial" w:hAnsi="Arial" w:cs="Arial"/>
              </w:rPr>
            </w:pPr>
            <w:r>
              <w:rPr>
                <w:rFonts w:ascii="Arial" w:hAnsi="Arial" w:cs="Arial"/>
              </w:rPr>
              <w:t>2021</w:t>
            </w:r>
          </w:p>
        </w:tc>
        <w:tc>
          <w:tcPr>
            <w:tcW w:w="714" w:type="pct"/>
          </w:tcPr>
          <w:p w14:paraId="3147105D" w14:textId="6DD11166" w:rsidR="00432172" w:rsidRPr="00B62663" w:rsidRDefault="002E617A" w:rsidP="00AD586A">
            <w:pPr>
              <w:pStyle w:val="ListParagraph"/>
              <w:autoSpaceDE w:val="0"/>
              <w:autoSpaceDN w:val="0"/>
              <w:adjustRightInd w:val="0"/>
              <w:ind w:left="0"/>
              <w:rPr>
                <w:rFonts w:ascii="Arial" w:hAnsi="Arial" w:cs="Arial"/>
              </w:rPr>
            </w:pPr>
            <w:r>
              <w:rPr>
                <w:rFonts w:ascii="Arial" w:hAnsi="Arial" w:cs="Arial"/>
              </w:rPr>
              <w:t>Exempt</w:t>
            </w:r>
          </w:p>
        </w:tc>
        <w:tc>
          <w:tcPr>
            <w:tcW w:w="715" w:type="pct"/>
          </w:tcPr>
          <w:p w14:paraId="0E4B8339" w14:textId="26860E24" w:rsidR="00432172" w:rsidRPr="00B62663" w:rsidRDefault="002E617A" w:rsidP="00AD586A">
            <w:pPr>
              <w:pStyle w:val="ListParagraph"/>
              <w:autoSpaceDE w:val="0"/>
              <w:autoSpaceDN w:val="0"/>
              <w:adjustRightInd w:val="0"/>
              <w:ind w:left="0"/>
              <w:rPr>
                <w:rFonts w:ascii="Arial" w:hAnsi="Arial" w:cs="Arial"/>
              </w:rPr>
            </w:pPr>
            <w:r>
              <w:rPr>
                <w:rFonts w:ascii="Arial" w:hAnsi="Arial" w:cs="Arial"/>
              </w:rPr>
              <w:t>Exempt</w:t>
            </w:r>
          </w:p>
        </w:tc>
        <w:tc>
          <w:tcPr>
            <w:tcW w:w="714" w:type="pct"/>
          </w:tcPr>
          <w:p w14:paraId="01F5E778" w14:textId="73A88136" w:rsidR="00432172" w:rsidRPr="00B62663" w:rsidRDefault="002E617A" w:rsidP="00AD586A">
            <w:pPr>
              <w:pStyle w:val="ListParagraph"/>
              <w:autoSpaceDE w:val="0"/>
              <w:autoSpaceDN w:val="0"/>
              <w:adjustRightInd w:val="0"/>
              <w:ind w:left="0"/>
              <w:rPr>
                <w:rFonts w:ascii="Arial" w:hAnsi="Arial" w:cs="Arial"/>
              </w:rPr>
            </w:pPr>
            <w:r>
              <w:rPr>
                <w:rFonts w:ascii="Arial" w:hAnsi="Arial" w:cs="Arial"/>
              </w:rPr>
              <w:t>Exempt</w:t>
            </w:r>
          </w:p>
        </w:tc>
        <w:tc>
          <w:tcPr>
            <w:tcW w:w="714" w:type="pct"/>
          </w:tcPr>
          <w:p w14:paraId="51BD9E31" w14:textId="4DA93EE7" w:rsidR="00432172" w:rsidRPr="00B62663" w:rsidRDefault="002E617A" w:rsidP="00AD586A">
            <w:pPr>
              <w:rPr>
                <w:rFonts w:ascii="Arial" w:hAnsi="Arial" w:cs="Arial"/>
              </w:rPr>
            </w:pPr>
            <w:r>
              <w:rPr>
                <w:rFonts w:ascii="Arial" w:hAnsi="Arial" w:cs="Arial"/>
              </w:rPr>
              <w:t>$36,909,735</w:t>
            </w:r>
          </w:p>
        </w:tc>
        <w:tc>
          <w:tcPr>
            <w:tcW w:w="714" w:type="pct"/>
          </w:tcPr>
          <w:p w14:paraId="726A8F19" w14:textId="6DA7A8E5" w:rsidR="00432172" w:rsidRPr="00B62663" w:rsidRDefault="002E617A" w:rsidP="00AD586A">
            <w:pPr>
              <w:rPr>
                <w:rFonts w:ascii="Arial" w:hAnsi="Arial" w:cs="Arial"/>
              </w:rPr>
            </w:pPr>
            <w:r>
              <w:rPr>
                <w:rFonts w:ascii="Arial" w:hAnsi="Arial" w:cs="Arial"/>
              </w:rPr>
              <w:t>$17,454,867</w:t>
            </w:r>
          </w:p>
        </w:tc>
        <w:tc>
          <w:tcPr>
            <w:tcW w:w="715" w:type="pct"/>
          </w:tcPr>
          <w:p w14:paraId="7D00A5FE" w14:textId="100905C2" w:rsidR="00432172" w:rsidRPr="00B62663" w:rsidRDefault="002E617A" w:rsidP="00AD586A">
            <w:pPr>
              <w:rPr>
                <w:rFonts w:ascii="Arial" w:hAnsi="Arial" w:cs="Arial"/>
              </w:rPr>
            </w:pPr>
            <w:r>
              <w:rPr>
                <w:rFonts w:ascii="Arial" w:hAnsi="Arial" w:cs="Arial"/>
              </w:rPr>
              <w:t>$17,454,867</w:t>
            </w:r>
          </w:p>
        </w:tc>
      </w:tr>
    </w:tbl>
    <w:p w14:paraId="1C4A84CB" w14:textId="77777777" w:rsidR="007173BE" w:rsidRPr="00B62663" w:rsidRDefault="007173BE"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11599CD2"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7173BE">
        <w:rPr>
          <w:rFonts w:ascii="Arial" w:hAnsi="Arial" w:cs="Arial"/>
        </w:rPr>
        <w:tab/>
      </w:r>
      <w:r w:rsidR="007173BE">
        <w:rPr>
          <w:rFonts w:ascii="Arial" w:hAnsi="Arial" w:cs="Arial"/>
        </w:rPr>
        <w:tab/>
      </w:r>
      <w:r w:rsidR="00F731E3">
        <w:rPr>
          <w:rFonts w:ascii="Arial" w:hAnsi="Arial" w:cs="Arial"/>
        </w:rPr>
        <w:t>12-99-02-218-075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2E617A" w:rsidRPr="00B62663" w14:paraId="0B18851E" w14:textId="77777777" w:rsidTr="00AD586A">
        <w:tc>
          <w:tcPr>
            <w:tcW w:w="1666" w:type="pct"/>
          </w:tcPr>
          <w:p w14:paraId="21F0E028" w14:textId="60CF82FF" w:rsidR="002E617A" w:rsidRPr="00B62663" w:rsidRDefault="00855996" w:rsidP="002E617A">
            <w:pPr>
              <w:pStyle w:val="ListParagraph"/>
              <w:autoSpaceDE w:val="0"/>
              <w:autoSpaceDN w:val="0"/>
              <w:adjustRightInd w:val="0"/>
              <w:ind w:left="0"/>
              <w:rPr>
                <w:rFonts w:ascii="Arial" w:hAnsi="Arial" w:cs="Arial"/>
              </w:rPr>
            </w:pPr>
            <w:r>
              <w:rPr>
                <w:rFonts w:ascii="Arial" w:hAnsi="Arial" w:cs="Arial"/>
              </w:rPr>
              <w:t>2021</w:t>
            </w:r>
          </w:p>
        </w:tc>
        <w:tc>
          <w:tcPr>
            <w:tcW w:w="1666" w:type="pct"/>
          </w:tcPr>
          <w:p w14:paraId="30D42E55" w14:textId="330F8D72" w:rsidR="002E617A" w:rsidRPr="00B62663" w:rsidRDefault="002E617A" w:rsidP="002E617A">
            <w:pPr>
              <w:pStyle w:val="ListParagraph"/>
              <w:autoSpaceDE w:val="0"/>
              <w:autoSpaceDN w:val="0"/>
              <w:adjustRightInd w:val="0"/>
              <w:ind w:left="0"/>
              <w:rPr>
                <w:rFonts w:ascii="Arial" w:hAnsi="Arial" w:cs="Arial"/>
              </w:rPr>
            </w:pPr>
            <w:r>
              <w:rPr>
                <w:rFonts w:ascii="Arial" w:hAnsi="Arial" w:cs="Arial"/>
              </w:rPr>
              <w:t>$17,454,867</w:t>
            </w:r>
          </w:p>
        </w:tc>
        <w:tc>
          <w:tcPr>
            <w:tcW w:w="1667" w:type="pct"/>
          </w:tcPr>
          <w:p w14:paraId="57023783" w14:textId="76B22C99" w:rsidR="002E617A" w:rsidRPr="00B62663" w:rsidRDefault="002E617A" w:rsidP="002E617A">
            <w:pPr>
              <w:pStyle w:val="ListParagraph"/>
              <w:autoSpaceDE w:val="0"/>
              <w:autoSpaceDN w:val="0"/>
              <w:adjustRightInd w:val="0"/>
              <w:ind w:left="0"/>
              <w:rPr>
                <w:rFonts w:ascii="Arial" w:hAnsi="Arial" w:cs="Arial"/>
              </w:rPr>
            </w:pPr>
            <w:r>
              <w:rPr>
                <w:rFonts w:ascii="Arial" w:hAnsi="Arial" w:cs="Arial"/>
              </w:rPr>
              <w:t>$17,454,867</w:t>
            </w:r>
          </w:p>
        </w:tc>
      </w:tr>
    </w:tbl>
    <w:p w14:paraId="1FC4AD0E" w14:textId="77777777" w:rsidR="007173BE" w:rsidRPr="00B62663" w:rsidRDefault="007173BE"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574DEE18" w:rsidR="00432172" w:rsidRPr="00B62663" w:rsidRDefault="00432172" w:rsidP="00432172">
      <w:pPr>
        <w:ind w:firstLine="360"/>
        <w:rPr>
          <w:rFonts w:ascii="Arial" w:hAnsi="Arial" w:cs="Arial"/>
          <w:u w:val="single"/>
        </w:rPr>
      </w:pPr>
      <w:r w:rsidRPr="00B62663">
        <w:rPr>
          <w:rFonts w:ascii="Arial" w:hAnsi="Arial" w:cs="Arial"/>
        </w:rPr>
        <w:t xml:space="preserve">The property’s taxes </w:t>
      </w:r>
      <w:r w:rsidR="007173BE">
        <w:rPr>
          <w:rFonts w:ascii="Arial" w:hAnsi="Arial" w:cs="Arial"/>
        </w:rPr>
        <w:t xml:space="preserve">have </w:t>
      </w:r>
      <w:r w:rsidRPr="00B62663">
        <w:rPr>
          <w:rFonts w:ascii="Arial" w:hAnsi="Arial" w:cs="Arial"/>
        </w:rPr>
        <w:t>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72FD9C9" w:rsidR="00432172" w:rsidRPr="00B62663" w:rsidRDefault="00432172" w:rsidP="00432172">
      <w:pPr>
        <w:numPr>
          <w:ilvl w:val="1"/>
          <w:numId w:val="37"/>
        </w:numPr>
        <w:ind w:left="720"/>
        <w:rPr>
          <w:rFonts w:ascii="Arial" w:hAnsi="Arial" w:cs="Arial"/>
          <w:u w:val="single"/>
        </w:rPr>
      </w:pPr>
      <w:r w:rsidRPr="00B62663">
        <w:rPr>
          <w:rFonts w:ascii="Arial" w:hAnsi="Arial" w:cs="Arial"/>
        </w:rPr>
        <w:t xml:space="preserve">Classification of property </w:t>
      </w:r>
      <w:r w:rsidRPr="00B62663">
        <w:rPr>
          <w:rFonts w:ascii="Arial" w:hAnsi="Arial" w:cs="Arial"/>
          <w:b/>
        </w:rPr>
        <w:t>(by parcel number)</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1AABB027" w14:textId="77777777" w:rsidTr="00AD586A">
        <w:tc>
          <w:tcPr>
            <w:tcW w:w="2500" w:type="pct"/>
          </w:tcPr>
          <w:p w14:paraId="71D0A042"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25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AD586A">
        <w:tc>
          <w:tcPr>
            <w:tcW w:w="2500" w:type="pct"/>
          </w:tcPr>
          <w:p w14:paraId="479177BF" w14:textId="35E1F06B" w:rsidR="00432172" w:rsidRPr="00B62663" w:rsidRDefault="00F731E3" w:rsidP="00AD586A">
            <w:pPr>
              <w:pStyle w:val="ListParagraph"/>
              <w:autoSpaceDE w:val="0"/>
              <w:autoSpaceDN w:val="0"/>
              <w:adjustRightInd w:val="0"/>
              <w:ind w:left="0"/>
              <w:rPr>
                <w:rFonts w:ascii="Arial" w:hAnsi="Arial" w:cs="Arial"/>
              </w:rPr>
            </w:pPr>
            <w:r>
              <w:rPr>
                <w:rFonts w:ascii="Arial" w:hAnsi="Arial" w:cs="Arial"/>
              </w:rPr>
              <w:t>12-99-02-218-075</w:t>
            </w:r>
          </w:p>
        </w:tc>
        <w:tc>
          <w:tcPr>
            <w:tcW w:w="2500" w:type="pct"/>
          </w:tcPr>
          <w:p w14:paraId="32ABC157" w14:textId="0269538F" w:rsidR="00432172" w:rsidRPr="00B62663" w:rsidRDefault="0026498C" w:rsidP="00AD586A">
            <w:pPr>
              <w:pStyle w:val="ListParagraph"/>
              <w:autoSpaceDE w:val="0"/>
              <w:autoSpaceDN w:val="0"/>
              <w:adjustRightInd w:val="0"/>
              <w:ind w:left="0"/>
              <w:rPr>
                <w:rFonts w:ascii="Arial" w:hAnsi="Arial" w:cs="Arial"/>
              </w:rPr>
            </w:pPr>
            <w:r>
              <w:rPr>
                <w:rFonts w:ascii="Arial" w:hAnsi="Arial" w:cs="Arial"/>
              </w:rPr>
              <w:t xml:space="preserve">Commercial </w:t>
            </w:r>
            <w:r w:rsidR="002856FD">
              <w:rPr>
                <w:rFonts w:ascii="Arial" w:hAnsi="Arial" w:cs="Arial"/>
              </w:rPr>
              <w:t>Personal Property</w:t>
            </w:r>
          </w:p>
        </w:tc>
      </w:tr>
    </w:tbl>
    <w:p w14:paraId="5E1C4347" w14:textId="77777777" w:rsidR="00432172" w:rsidRPr="00B62663" w:rsidRDefault="00432172" w:rsidP="00432172">
      <w:pPr>
        <w:ind w:firstLine="75"/>
        <w:rPr>
          <w:rFonts w:ascii="Arial" w:hAnsi="Arial" w:cs="Arial"/>
        </w:rPr>
      </w:pPr>
    </w:p>
    <w:p w14:paraId="7D4DE437" w14:textId="14F11F66" w:rsidR="00432172" w:rsidRPr="00B62663" w:rsidRDefault="00432172" w:rsidP="00432172">
      <w:pPr>
        <w:numPr>
          <w:ilvl w:val="1"/>
          <w:numId w:val="37"/>
        </w:numPr>
        <w:ind w:left="720"/>
        <w:rPr>
          <w:rFonts w:ascii="Arial" w:hAnsi="Arial" w:cs="Arial"/>
        </w:rPr>
      </w:pPr>
      <w:r w:rsidRPr="00B62663">
        <w:rPr>
          <w:rFonts w:ascii="Arial" w:hAnsi="Arial" w:cs="Arial"/>
        </w:rPr>
        <w:t xml:space="preserve">Highest and best use (H&amp;BU) for the tax years at issue </w:t>
      </w:r>
      <w:r w:rsidRPr="00B62663">
        <w:rPr>
          <w:rFonts w:ascii="Arial" w:hAnsi="Arial" w:cs="Arial"/>
          <w:b/>
        </w:rPr>
        <w:t>(by parcel number)</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5621A6C8" w:rsidR="00432172" w:rsidRPr="00B62663" w:rsidRDefault="002856FD" w:rsidP="00AD586A">
            <w:pPr>
              <w:pStyle w:val="ListParagraph"/>
              <w:autoSpaceDE w:val="0"/>
              <w:autoSpaceDN w:val="0"/>
              <w:adjustRightInd w:val="0"/>
              <w:ind w:left="0"/>
              <w:rPr>
                <w:rFonts w:ascii="Arial" w:hAnsi="Arial" w:cs="Arial"/>
              </w:rPr>
            </w:pPr>
            <w:r>
              <w:rPr>
                <w:rFonts w:ascii="Arial" w:hAnsi="Arial" w:cs="Arial"/>
              </w:rPr>
              <w:t>2021</w:t>
            </w:r>
          </w:p>
        </w:tc>
        <w:tc>
          <w:tcPr>
            <w:tcW w:w="2500" w:type="pct"/>
          </w:tcPr>
          <w:p w14:paraId="77F1BA01" w14:textId="498EC25B" w:rsidR="00432172" w:rsidRPr="00B62663" w:rsidRDefault="0026498C" w:rsidP="00AD586A">
            <w:pPr>
              <w:pStyle w:val="ListParagraph"/>
              <w:autoSpaceDE w:val="0"/>
              <w:autoSpaceDN w:val="0"/>
              <w:adjustRightInd w:val="0"/>
              <w:ind w:left="0"/>
              <w:rPr>
                <w:rFonts w:ascii="Arial" w:hAnsi="Arial" w:cs="Arial"/>
              </w:rPr>
            </w:pPr>
            <w:r>
              <w:rPr>
                <w:rFonts w:ascii="Arial" w:hAnsi="Arial" w:cs="Arial"/>
              </w:rPr>
              <w:t xml:space="preserve">Commercial </w:t>
            </w:r>
            <w:r w:rsidR="002856FD">
              <w:rPr>
                <w:rFonts w:ascii="Arial" w:hAnsi="Arial" w:cs="Arial"/>
              </w:rPr>
              <w:t>Personal Property</w:t>
            </w:r>
          </w:p>
        </w:tc>
      </w:tr>
    </w:tbl>
    <w:p w14:paraId="682CBFCA" w14:textId="77777777" w:rsidR="00F731E3" w:rsidRPr="00B62663" w:rsidRDefault="00F731E3" w:rsidP="00432172">
      <w:pPr>
        <w:rPr>
          <w:rFonts w:ascii="Arial" w:hAnsi="Arial" w:cs="Arial"/>
        </w:rPr>
      </w:pPr>
    </w:p>
    <w:p w14:paraId="23A76E58" w14:textId="7112960F" w:rsidR="00432172" w:rsidRPr="00292C86" w:rsidRDefault="00432172" w:rsidP="00292C86">
      <w:pPr>
        <w:numPr>
          <w:ilvl w:val="1"/>
          <w:numId w:val="37"/>
        </w:numPr>
        <w:ind w:left="720"/>
        <w:rPr>
          <w:rFonts w:ascii="Arial" w:hAnsi="Arial" w:cs="Arial"/>
        </w:rPr>
      </w:pPr>
      <w:r w:rsidRPr="00292C86">
        <w:rPr>
          <w:rFonts w:ascii="Arial" w:hAnsi="Arial" w:cs="Arial"/>
        </w:rPr>
        <w:t xml:space="preserve">The property’s </w:t>
      </w:r>
      <w:r w:rsidR="00201CD5" w:rsidRPr="00292C86">
        <w:rPr>
          <w:rFonts w:ascii="Arial" w:hAnsi="Arial" w:cs="Arial"/>
        </w:rPr>
        <w:t xml:space="preserve">2021 </w:t>
      </w:r>
      <w:r w:rsidR="00147D83" w:rsidRPr="00292C86">
        <w:rPr>
          <w:rFonts w:ascii="Arial" w:hAnsi="Arial" w:cs="Arial"/>
        </w:rPr>
        <w:t xml:space="preserve">personal property </w:t>
      </w:r>
      <w:r w:rsidR="00201CD5" w:rsidRPr="00292C86">
        <w:rPr>
          <w:rFonts w:ascii="Arial" w:hAnsi="Arial" w:cs="Arial"/>
        </w:rPr>
        <w:t xml:space="preserve">assessment </w:t>
      </w:r>
      <w:r w:rsidR="00147D83" w:rsidRPr="00292C86">
        <w:rPr>
          <w:rFonts w:ascii="Arial" w:hAnsi="Arial" w:cs="Arial"/>
        </w:rPr>
        <w:t>i</w:t>
      </w:r>
      <w:r w:rsidRPr="00292C86">
        <w:rPr>
          <w:rFonts w:ascii="Arial" w:hAnsi="Arial" w:cs="Arial"/>
        </w:rPr>
        <w:t xml:space="preserve">s at issue </w:t>
      </w:r>
      <w:r w:rsidR="00147D83" w:rsidRPr="00292C86">
        <w:rPr>
          <w:rFonts w:ascii="Arial" w:hAnsi="Arial" w:cs="Arial"/>
        </w:rPr>
        <w:t xml:space="preserve">(as a mutual mistake of fact) </w:t>
      </w:r>
      <w:r w:rsidRPr="00292C86">
        <w:rPr>
          <w:rFonts w:ascii="Arial" w:hAnsi="Arial" w:cs="Arial"/>
        </w:rPr>
        <w:t xml:space="preserve">in this appeal. </w:t>
      </w:r>
    </w:p>
    <w:p w14:paraId="6940E7D4" w14:textId="77777777" w:rsidR="00432172" w:rsidRDefault="00432172" w:rsidP="00432172">
      <w:pPr>
        <w:rPr>
          <w:rFonts w:ascii="Arial" w:hAnsi="Arial" w:cs="Arial"/>
        </w:rPr>
      </w:pPr>
    </w:p>
    <w:p w14:paraId="6E2CFF24" w14:textId="77777777" w:rsidR="00292C86" w:rsidRPr="00B62663" w:rsidRDefault="00292C86" w:rsidP="00432172">
      <w:pPr>
        <w:rPr>
          <w:rFonts w:ascii="Arial" w:hAnsi="Arial" w:cs="Arial"/>
        </w:rPr>
      </w:pPr>
    </w:p>
    <w:p w14:paraId="7A0AA341" w14:textId="61A34F63" w:rsidR="00432172" w:rsidRPr="00B62663" w:rsidRDefault="00432172" w:rsidP="00432172">
      <w:pPr>
        <w:numPr>
          <w:ilvl w:val="1"/>
          <w:numId w:val="37"/>
        </w:numPr>
        <w:ind w:left="720"/>
        <w:rPr>
          <w:rFonts w:ascii="Arial" w:hAnsi="Arial" w:cs="Arial"/>
        </w:rPr>
      </w:pPr>
      <w:r w:rsidRPr="00B62663">
        <w:rPr>
          <w:rFonts w:ascii="Arial" w:hAnsi="Arial" w:cs="Arial"/>
        </w:rPr>
        <w:lastRenderedPageBreak/>
        <w:t>Petitioner’s claims or counterclaims:</w:t>
      </w:r>
    </w:p>
    <w:p w14:paraId="0525DC65" w14:textId="7AD87666" w:rsidR="00432172" w:rsidRPr="00B62663" w:rsidRDefault="00432172" w:rsidP="002E617A">
      <w:pPr>
        <w:ind w:left="720"/>
        <w:rPr>
          <w:rFonts w:ascii="Arial" w:hAnsi="Arial" w:cs="Arial"/>
        </w:rPr>
      </w:pPr>
      <w:r w:rsidRPr="00B62663">
        <w:rPr>
          <w:rFonts w:ascii="Arial" w:hAnsi="Arial" w:cs="Arial"/>
        </w:rPr>
        <w:br/>
      </w:r>
      <w:r w:rsidR="002E617A">
        <w:rPr>
          <w:rFonts w:ascii="Arial" w:hAnsi="Arial" w:cs="Arial"/>
        </w:rPr>
        <w:t>“Petitioner contends that it erroneously reported all assets included on its fixed asset listing on Petitioner’s 2021 Personal Property Statement significantly overstating its taxable personal property.  This resulted in excessive assessments that were paid in full.  The Assessor erroneously believed that Petitioner’s 2021 Personal Property Statement was accurate</w:t>
      </w:r>
      <w:r w:rsidR="0026498C">
        <w:rPr>
          <w:rFonts w:ascii="Arial" w:hAnsi="Arial" w:cs="Arial"/>
        </w:rPr>
        <w:t>.  Petitioner erroneously believed Petitioner’s 2021 Personal Property Statement was accurate.”</w:t>
      </w:r>
    </w:p>
    <w:p w14:paraId="1884B1D6" w14:textId="77777777" w:rsidR="00432172" w:rsidRPr="00B62663" w:rsidRDefault="00432172" w:rsidP="00432172">
      <w:pPr>
        <w:rPr>
          <w:rFonts w:ascii="Arial" w:hAnsi="Arial" w:cs="Arial"/>
        </w:rPr>
      </w:pPr>
    </w:p>
    <w:p w14:paraId="35A7197D" w14:textId="51297F33" w:rsidR="00432172" w:rsidRPr="00B62663" w:rsidRDefault="00432172" w:rsidP="00432172">
      <w:pPr>
        <w:numPr>
          <w:ilvl w:val="1"/>
          <w:numId w:val="37"/>
        </w:numPr>
        <w:autoSpaceDE w:val="0"/>
        <w:autoSpaceDN w:val="0"/>
        <w:ind w:left="720"/>
        <w:rPr>
          <w:rFonts w:ascii="Arial" w:hAnsi="Arial" w:cs="Arial"/>
        </w:rPr>
      </w:pPr>
      <w:r w:rsidRPr="00B62663">
        <w:rPr>
          <w:rFonts w:ascii="Arial" w:hAnsi="Arial" w:cs="Arial"/>
        </w:rPr>
        <w:t>Respondent’s claims or counterclaims:</w:t>
      </w:r>
    </w:p>
    <w:p w14:paraId="457618F7" w14:textId="72E1DF73" w:rsidR="00432172" w:rsidRDefault="00432172" w:rsidP="00432172">
      <w:pPr>
        <w:rPr>
          <w:rFonts w:ascii="Arial" w:hAnsi="Arial" w:cs="Arial"/>
        </w:rPr>
      </w:pPr>
    </w:p>
    <w:p w14:paraId="58E12291" w14:textId="03A27666" w:rsidR="002E617A" w:rsidRPr="00B62663" w:rsidRDefault="002E617A" w:rsidP="002E617A">
      <w:pPr>
        <w:ind w:left="720"/>
        <w:rPr>
          <w:rFonts w:ascii="Arial" w:hAnsi="Arial" w:cs="Arial"/>
        </w:rPr>
      </w:pPr>
      <w:r>
        <w:rPr>
          <w:rFonts w:ascii="Arial" w:hAnsi="Arial" w:cs="Arial"/>
        </w:rPr>
        <w:t>In pertinent part, Respondent states, “The sole remaining issue in this case is whether there was a mutual mistake of fact in the establishment of the 2021 assessment.”</w:t>
      </w:r>
    </w:p>
    <w:p w14:paraId="629C63DD" w14:textId="77777777" w:rsidR="009F6C2D" w:rsidRDefault="009F6C2D" w:rsidP="009F6C2D">
      <w:pPr>
        <w:ind w:left="360"/>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7777777" w:rsidR="00432172" w:rsidRPr="00B62663" w:rsidRDefault="00432172" w:rsidP="00432172">
      <w:pPr>
        <w:numPr>
          <w:ilvl w:val="1"/>
          <w:numId w:val="3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0661241B" w:rsidR="00355B1C" w:rsidRDefault="00355B1C" w:rsidP="00355B1C">
      <w:pPr>
        <w:numPr>
          <w:ilvl w:val="1"/>
          <w:numId w:val="37"/>
        </w:numPr>
        <w:ind w:left="720"/>
        <w:rPr>
          <w:rFonts w:ascii="Arial" w:hAnsi="Arial" w:cs="Arial"/>
        </w:rPr>
      </w:pPr>
      <w:r w:rsidRPr="00355B1C">
        <w:rPr>
          <w:rFonts w:ascii="Arial" w:hAnsi="Arial" w:cs="Arial"/>
        </w:rPr>
        <w:t>As provided by TTR 2</w:t>
      </w:r>
      <w:r w:rsidR="0027333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4C5244FD" w14:textId="7A6B8A89" w:rsidR="00FF3D40" w:rsidRPr="007B60CF" w:rsidRDefault="000F7AC2" w:rsidP="00FF3D40">
      <w:pPr>
        <w:numPr>
          <w:ilvl w:val="0"/>
          <w:numId w:val="39"/>
        </w:numPr>
        <w:tabs>
          <w:tab w:val="left" w:pos="360"/>
        </w:tabs>
        <w:ind w:left="4320" w:hanging="4320"/>
        <w:rPr>
          <w:rFonts w:ascii="Arial" w:hAnsi="Arial" w:cs="Arial"/>
        </w:rPr>
      </w:pPr>
      <w:r>
        <w:rPr>
          <w:rFonts w:ascii="Arial" w:hAnsi="Arial" w:cs="Arial"/>
        </w:rPr>
        <w:t>August 25, 2026</w:t>
      </w:r>
      <w:r w:rsidR="00FF3D40">
        <w:rPr>
          <w:rFonts w:ascii="Arial" w:hAnsi="Arial" w:cs="Arial"/>
        </w:rPr>
        <w:tab/>
      </w:r>
      <w:r w:rsidR="009D6BE3" w:rsidRPr="009D6BE3">
        <w:rPr>
          <w:rFonts w:ascii="Arial" w:hAnsi="Arial" w:cs="Arial"/>
        </w:rPr>
        <w:t xml:space="preserve">is the final date to file and serve upon the opposing party(ies) and the Tribunal a final exhibit list and to furnish the opposing party(ies) with a copy of each exhibit. The parties must use the form prescribed by the Tribunal, available </w:t>
      </w:r>
      <w:hyperlink r:id="rId8" w:history="1">
        <w:r w:rsidR="009D6BE3" w:rsidRPr="008052A1">
          <w:rPr>
            <w:rStyle w:val="Hyperlink"/>
            <w:rFonts w:ascii="Arial" w:hAnsi="Arial" w:cs="Arial"/>
          </w:rPr>
          <w:t>here</w:t>
        </w:r>
      </w:hyperlink>
      <w:r w:rsidR="009D6BE3" w:rsidRPr="009D6BE3">
        <w:rPr>
          <w:rFonts w:ascii="Arial" w:hAnsi="Arial" w:cs="Arial"/>
        </w:rPr>
        <w:t xml:space="preserve">. Each proposed exhibit must display the docket number and exhibit number (i.e., P1, P2, R1, R2, etc.) in the upper right-hand corner of the first page and must also include Bates numbering throughout the exhibit. An exhibit will not be admitted into </w:t>
      </w:r>
      <w:r w:rsidR="009D6BE3" w:rsidRPr="009D6BE3">
        <w:rPr>
          <w:rFonts w:ascii="Arial" w:hAnsi="Arial" w:cs="Arial"/>
        </w:rPr>
        <w:lastRenderedPageBreak/>
        <w:t>evidence unless the exhibit is disclosed, Bates numbered and furnished in accordance with this order (even though admissible) except upon a finding of good cause by the Tribunal.</w:t>
      </w:r>
      <w:r w:rsidR="00FF3D40" w:rsidRPr="007B60CF">
        <w:rPr>
          <w:rFonts w:ascii="Arial" w:hAnsi="Arial" w:cs="Arial"/>
        </w:rPr>
        <w:br/>
      </w:r>
    </w:p>
    <w:p w14:paraId="0B2D6F10" w14:textId="0A68565D" w:rsidR="00FF3D40" w:rsidRPr="003B728E" w:rsidRDefault="000F7AC2" w:rsidP="00FF3D40">
      <w:pPr>
        <w:numPr>
          <w:ilvl w:val="0"/>
          <w:numId w:val="39"/>
        </w:numPr>
        <w:tabs>
          <w:tab w:val="left" w:pos="360"/>
        </w:tabs>
        <w:ind w:left="4320" w:hanging="4320"/>
        <w:rPr>
          <w:rFonts w:ascii="Arial" w:hAnsi="Arial" w:cs="Arial"/>
        </w:rPr>
      </w:pPr>
      <w:r>
        <w:rPr>
          <w:rFonts w:ascii="Arial" w:hAnsi="Arial" w:cs="Arial"/>
        </w:rPr>
        <w:t>August 25, 2026</w:t>
      </w:r>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close of the hearing, unless ordered otherwise.</w:t>
      </w:r>
    </w:p>
    <w:p w14:paraId="5DF4639A" w14:textId="77777777" w:rsidR="00D97C7D" w:rsidRPr="0020079E" w:rsidRDefault="00D97C7D" w:rsidP="0019363D">
      <w:pPr>
        <w:tabs>
          <w:tab w:val="left" w:pos="4320"/>
        </w:tabs>
        <w:rPr>
          <w:rFonts w:ascii="Arial" w:hAnsi="Arial" w:cs="Arial"/>
        </w:rPr>
      </w:pPr>
    </w:p>
    <w:p w14:paraId="5B226768" w14:textId="4645DD47"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 or the conducting of a show cause or 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3825F2F4" w14:textId="77777777" w:rsidR="00D97C7D" w:rsidRPr="007B60CF" w:rsidRDefault="00D97C7D" w:rsidP="00D97C7D">
      <w:pPr>
        <w:rPr>
          <w:rFonts w:ascii="Arial" w:hAnsi="Arial" w:cs="Arial"/>
        </w:rPr>
      </w:pPr>
    </w:p>
    <w:p w14:paraId="2DD3429D" w14:textId="77FC341F" w:rsidR="008E1D8D" w:rsidRPr="007B60CF" w:rsidRDefault="008E1D8D" w:rsidP="00C56992">
      <w:pPr>
        <w:ind w:left="5040" w:firstLine="720"/>
        <w:rPr>
          <w:rFonts w:ascii="Arial" w:hAnsi="Arial" w:cs="Arial"/>
        </w:rPr>
      </w:pPr>
      <w:proofErr w:type="gramStart"/>
      <w:r w:rsidRPr="007B60CF">
        <w:rPr>
          <w:rFonts w:ascii="Arial" w:hAnsi="Arial" w:cs="Arial"/>
        </w:rPr>
        <w:t>B</w:t>
      </w:r>
      <w:r>
        <w:rPr>
          <w:rFonts w:ascii="Arial" w:hAnsi="Arial" w:cs="Arial"/>
        </w:rPr>
        <w:t>y</w:t>
      </w:r>
      <w:proofErr w:type="gramEnd"/>
      <w:r>
        <w:rPr>
          <w:rFonts w:ascii="Arial" w:hAnsi="Arial" w:cs="Arial"/>
        </w:rPr>
        <w:t xml:space="preserve">: </w:t>
      </w:r>
      <w:r w:rsidRPr="004C229B">
        <w:rPr>
          <w:rFonts w:ascii="Arial" w:hAnsi="Arial" w:cs="Arial"/>
          <w:u w:val="single"/>
        </w:rPr>
        <w:t>/s/</w:t>
      </w:r>
      <w:r w:rsidR="004C229B" w:rsidRPr="004C229B">
        <w:rPr>
          <w:rFonts w:ascii="Arial" w:hAnsi="Arial" w:cs="Arial"/>
          <w:u w:val="single"/>
        </w:rPr>
        <w:t xml:space="preserve">   Marcus L. Abood</w:t>
      </w:r>
    </w:p>
    <w:p w14:paraId="5FCA7D92" w14:textId="49C6F3E2" w:rsidR="00432172" w:rsidRPr="008E1D8D" w:rsidRDefault="008E1D8D" w:rsidP="00D97C7D">
      <w:pPr>
        <w:rPr>
          <w:rFonts w:ascii="Arial" w:hAnsi="Arial" w:cs="Arial"/>
        </w:rPr>
      </w:pPr>
      <w:r w:rsidRPr="007B60CF">
        <w:rPr>
          <w:rFonts w:ascii="Arial" w:hAnsi="Arial" w:cs="Arial"/>
        </w:rPr>
        <w:t>Date Entered:</w:t>
      </w:r>
      <w:r w:rsidR="00BA7E20">
        <w:rPr>
          <w:rFonts w:ascii="Arial" w:hAnsi="Arial" w:cs="Arial"/>
        </w:rPr>
        <w:t xml:space="preserve"> June 18, 2026</w:t>
      </w:r>
      <w:r w:rsidR="00D97C7D" w:rsidRPr="007B60CF">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After the hearing has concluded, an order will be issued instructing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r w:rsidRPr="00D059CD">
        <w:rPr>
          <w:rFonts w:ascii="Arial" w:hAnsi="Arial" w:cs="Arial"/>
        </w:rPr>
        <w:t xml:space="preserve">By: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850E" w14:textId="77777777" w:rsidR="00275B5B" w:rsidRDefault="00275B5B">
      <w:r>
        <w:separator/>
      </w:r>
    </w:p>
  </w:endnote>
  <w:endnote w:type="continuationSeparator" w:id="0">
    <w:p w14:paraId="6E6E644A" w14:textId="77777777" w:rsidR="00275B5B" w:rsidRDefault="0027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8A85" w14:textId="77777777" w:rsidR="00275B5B" w:rsidRDefault="00275B5B">
      <w:r>
        <w:separator/>
      </w:r>
    </w:p>
  </w:footnote>
  <w:footnote w:type="continuationSeparator" w:id="0">
    <w:p w14:paraId="365451E5" w14:textId="77777777" w:rsidR="00275B5B" w:rsidRDefault="00275B5B">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2B14D12F"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7173BE">
      <w:rPr>
        <w:rFonts w:ascii="Arial" w:hAnsi="Arial" w:cs="Arial"/>
        <w:sz w:val="22"/>
        <w:szCs w:val="22"/>
      </w:rPr>
      <w:t>24-003348</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428B4"/>
    <w:rsid w:val="00043590"/>
    <w:rsid w:val="000639E5"/>
    <w:rsid w:val="000678A8"/>
    <w:rsid w:val="00073A1B"/>
    <w:rsid w:val="00074550"/>
    <w:rsid w:val="0008116E"/>
    <w:rsid w:val="00085A50"/>
    <w:rsid w:val="00094C77"/>
    <w:rsid w:val="0009512D"/>
    <w:rsid w:val="000A6EF6"/>
    <w:rsid w:val="000B46CE"/>
    <w:rsid w:val="000C1235"/>
    <w:rsid w:val="000D3569"/>
    <w:rsid w:val="000F3EC0"/>
    <w:rsid w:val="000F7AC2"/>
    <w:rsid w:val="00104DF0"/>
    <w:rsid w:val="0011025D"/>
    <w:rsid w:val="00116EDB"/>
    <w:rsid w:val="001349CC"/>
    <w:rsid w:val="00137110"/>
    <w:rsid w:val="00140961"/>
    <w:rsid w:val="00140D36"/>
    <w:rsid w:val="001478FE"/>
    <w:rsid w:val="00147D83"/>
    <w:rsid w:val="00153CC6"/>
    <w:rsid w:val="00157DCD"/>
    <w:rsid w:val="00162048"/>
    <w:rsid w:val="00165368"/>
    <w:rsid w:val="001715AA"/>
    <w:rsid w:val="00177E32"/>
    <w:rsid w:val="00180137"/>
    <w:rsid w:val="00184B40"/>
    <w:rsid w:val="0018649C"/>
    <w:rsid w:val="001901B4"/>
    <w:rsid w:val="0019363D"/>
    <w:rsid w:val="001970F2"/>
    <w:rsid w:val="001A023A"/>
    <w:rsid w:val="001B1762"/>
    <w:rsid w:val="001B1C33"/>
    <w:rsid w:val="001C0CDE"/>
    <w:rsid w:val="001C179D"/>
    <w:rsid w:val="001C1BDC"/>
    <w:rsid w:val="001C4E16"/>
    <w:rsid w:val="001E795A"/>
    <w:rsid w:val="001F0C1A"/>
    <w:rsid w:val="001F10FC"/>
    <w:rsid w:val="001F1EFF"/>
    <w:rsid w:val="001F6C59"/>
    <w:rsid w:val="0020079E"/>
    <w:rsid w:val="00201CD5"/>
    <w:rsid w:val="00221603"/>
    <w:rsid w:val="0023753C"/>
    <w:rsid w:val="002424F9"/>
    <w:rsid w:val="0025049F"/>
    <w:rsid w:val="002551D3"/>
    <w:rsid w:val="0026498C"/>
    <w:rsid w:val="00270C8A"/>
    <w:rsid w:val="00270F24"/>
    <w:rsid w:val="00273338"/>
    <w:rsid w:val="00275B5B"/>
    <w:rsid w:val="002838DA"/>
    <w:rsid w:val="002856FD"/>
    <w:rsid w:val="00292C86"/>
    <w:rsid w:val="002940DB"/>
    <w:rsid w:val="0029490F"/>
    <w:rsid w:val="0029660D"/>
    <w:rsid w:val="0029706A"/>
    <w:rsid w:val="002971EB"/>
    <w:rsid w:val="002A4E65"/>
    <w:rsid w:val="002B618D"/>
    <w:rsid w:val="002B7644"/>
    <w:rsid w:val="002D5D45"/>
    <w:rsid w:val="002E14F9"/>
    <w:rsid w:val="002E339D"/>
    <w:rsid w:val="002E617A"/>
    <w:rsid w:val="002E7895"/>
    <w:rsid w:val="002F73BE"/>
    <w:rsid w:val="00300165"/>
    <w:rsid w:val="00300DD9"/>
    <w:rsid w:val="00311118"/>
    <w:rsid w:val="00321917"/>
    <w:rsid w:val="003420D2"/>
    <w:rsid w:val="003428F5"/>
    <w:rsid w:val="003469DB"/>
    <w:rsid w:val="00355B1C"/>
    <w:rsid w:val="003641AD"/>
    <w:rsid w:val="00382C49"/>
    <w:rsid w:val="00385174"/>
    <w:rsid w:val="003A1566"/>
    <w:rsid w:val="003A648E"/>
    <w:rsid w:val="003A6F2A"/>
    <w:rsid w:val="003B6CF1"/>
    <w:rsid w:val="003B728E"/>
    <w:rsid w:val="003C0AD1"/>
    <w:rsid w:val="003C5A2B"/>
    <w:rsid w:val="003D68ED"/>
    <w:rsid w:val="003E0C74"/>
    <w:rsid w:val="003E43A6"/>
    <w:rsid w:val="003F1D69"/>
    <w:rsid w:val="00424231"/>
    <w:rsid w:val="00424E28"/>
    <w:rsid w:val="00432140"/>
    <w:rsid w:val="00432172"/>
    <w:rsid w:val="0043522D"/>
    <w:rsid w:val="004547D3"/>
    <w:rsid w:val="004556FC"/>
    <w:rsid w:val="0046127B"/>
    <w:rsid w:val="004821E3"/>
    <w:rsid w:val="00497477"/>
    <w:rsid w:val="00497D0B"/>
    <w:rsid w:val="004A1BF4"/>
    <w:rsid w:val="004B4D5E"/>
    <w:rsid w:val="004B7DAD"/>
    <w:rsid w:val="004C229B"/>
    <w:rsid w:val="004C261A"/>
    <w:rsid w:val="004C43BB"/>
    <w:rsid w:val="004D5672"/>
    <w:rsid w:val="004E4E59"/>
    <w:rsid w:val="004F6FCE"/>
    <w:rsid w:val="00513EEA"/>
    <w:rsid w:val="00543BB2"/>
    <w:rsid w:val="00544146"/>
    <w:rsid w:val="00560FD0"/>
    <w:rsid w:val="00561D6D"/>
    <w:rsid w:val="0058698D"/>
    <w:rsid w:val="005B1447"/>
    <w:rsid w:val="005C1C16"/>
    <w:rsid w:val="005C7AD8"/>
    <w:rsid w:val="005D3AF0"/>
    <w:rsid w:val="005E07E1"/>
    <w:rsid w:val="005E1E51"/>
    <w:rsid w:val="005F043D"/>
    <w:rsid w:val="006006C3"/>
    <w:rsid w:val="006010F8"/>
    <w:rsid w:val="006016C5"/>
    <w:rsid w:val="00603EAC"/>
    <w:rsid w:val="006243BE"/>
    <w:rsid w:val="00625E58"/>
    <w:rsid w:val="00626DA5"/>
    <w:rsid w:val="006527C1"/>
    <w:rsid w:val="006568CC"/>
    <w:rsid w:val="00657DE8"/>
    <w:rsid w:val="006607C9"/>
    <w:rsid w:val="00661ADA"/>
    <w:rsid w:val="0067085B"/>
    <w:rsid w:val="00672596"/>
    <w:rsid w:val="0067649B"/>
    <w:rsid w:val="006871D2"/>
    <w:rsid w:val="006875A4"/>
    <w:rsid w:val="006913CE"/>
    <w:rsid w:val="00692CC2"/>
    <w:rsid w:val="00697C87"/>
    <w:rsid w:val="006B191D"/>
    <w:rsid w:val="006B2970"/>
    <w:rsid w:val="006B3285"/>
    <w:rsid w:val="006C188A"/>
    <w:rsid w:val="006C1AAD"/>
    <w:rsid w:val="006C4A1A"/>
    <w:rsid w:val="006D406A"/>
    <w:rsid w:val="006E7E2C"/>
    <w:rsid w:val="006F1BB0"/>
    <w:rsid w:val="006F402A"/>
    <w:rsid w:val="00704EFD"/>
    <w:rsid w:val="007173BE"/>
    <w:rsid w:val="007368F2"/>
    <w:rsid w:val="007474D3"/>
    <w:rsid w:val="00753A03"/>
    <w:rsid w:val="00776AFA"/>
    <w:rsid w:val="00785F7C"/>
    <w:rsid w:val="0079556F"/>
    <w:rsid w:val="007A4D5C"/>
    <w:rsid w:val="007C0DB4"/>
    <w:rsid w:val="007C5333"/>
    <w:rsid w:val="007C574F"/>
    <w:rsid w:val="007D136D"/>
    <w:rsid w:val="007D7954"/>
    <w:rsid w:val="007F0F8C"/>
    <w:rsid w:val="007F516F"/>
    <w:rsid w:val="007F6668"/>
    <w:rsid w:val="008052A1"/>
    <w:rsid w:val="00805D68"/>
    <w:rsid w:val="00807EA6"/>
    <w:rsid w:val="008307FD"/>
    <w:rsid w:val="0084705F"/>
    <w:rsid w:val="00847898"/>
    <w:rsid w:val="00855996"/>
    <w:rsid w:val="008644B5"/>
    <w:rsid w:val="00887C3B"/>
    <w:rsid w:val="00890478"/>
    <w:rsid w:val="008A040D"/>
    <w:rsid w:val="008A1FEF"/>
    <w:rsid w:val="008B3D1B"/>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35362"/>
    <w:rsid w:val="0095243B"/>
    <w:rsid w:val="00955DA6"/>
    <w:rsid w:val="00956035"/>
    <w:rsid w:val="00971A06"/>
    <w:rsid w:val="00976DA7"/>
    <w:rsid w:val="00986F7D"/>
    <w:rsid w:val="009906BE"/>
    <w:rsid w:val="00997243"/>
    <w:rsid w:val="009A1946"/>
    <w:rsid w:val="009B04AE"/>
    <w:rsid w:val="009B3395"/>
    <w:rsid w:val="009B3B3F"/>
    <w:rsid w:val="009B7376"/>
    <w:rsid w:val="009D01E3"/>
    <w:rsid w:val="009D3F6B"/>
    <w:rsid w:val="009D55D2"/>
    <w:rsid w:val="009D6BE3"/>
    <w:rsid w:val="009E58F8"/>
    <w:rsid w:val="009E7E5B"/>
    <w:rsid w:val="009F4531"/>
    <w:rsid w:val="009F653E"/>
    <w:rsid w:val="009F6C2D"/>
    <w:rsid w:val="00A034D1"/>
    <w:rsid w:val="00A16DA1"/>
    <w:rsid w:val="00A17308"/>
    <w:rsid w:val="00A210F4"/>
    <w:rsid w:val="00A21F3E"/>
    <w:rsid w:val="00A251AB"/>
    <w:rsid w:val="00A25C0D"/>
    <w:rsid w:val="00A36A8E"/>
    <w:rsid w:val="00A45A4A"/>
    <w:rsid w:val="00A46AEF"/>
    <w:rsid w:val="00A5208D"/>
    <w:rsid w:val="00A5539C"/>
    <w:rsid w:val="00A56F78"/>
    <w:rsid w:val="00A6105D"/>
    <w:rsid w:val="00A6541C"/>
    <w:rsid w:val="00A77BF8"/>
    <w:rsid w:val="00A818DC"/>
    <w:rsid w:val="00A85497"/>
    <w:rsid w:val="00A91359"/>
    <w:rsid w:val="00A93F4A"/>
    <w:rsid w:val="00AA0C81"/>
    <w:rsid w:val="00AC6D14"/>
    <w:rsid w:val="00AD4C60"/>
    <w:rsid w:val="00AD5C33"/>
    <w:rsid w:val="00AE3643"/>
    <w:rsid w:val="00AE6EF3"/>
    <w:rsid w:val="00AF2186"/>
    <w:rsid w:val="00B021B3"/>
    <w:rsid w:val="00B103D4"/>
    <w:rsid w:val="00B14200"/>
    <w:rsid w:val="00B221C7"/>
    <w:rsid w:val="00B3768D"/>
    <w:rsid w:val="00B37D59"/>
    <w:rsid w:val="00B40C4C"/>
    <w:rsid w:val="00B41A99"/>
    <w:rsid w:val="00B524FD"/>
    <w:rsid w:val="00B53003"/>
    <w:rsid w:val="00B60637"/>
    <w:rsid w:val="00B62663"/>
    <w:rsid w:val="00B628E3"/>
    <w:rsid w:val="00B77F2A"/>
    <w:rsid w:val="00B80347"/>
    <w:rsid w:val="00B81518"/>
    <w:rsid w:val="00B82589"/>
    <w:rsid w:val="00BA4AB5"/>
    <w:rsid w:val="00BA54D2"/>
    <w:rsid w:val="00BA7E20"/>
    <w:rsid w:val="00BD1C9F"/>
    <w:rsid w:val="00BD5942"/>
    <w:rsid w:val="00BF2930"/>
    <w:rsid w:val="00C01257"/>
    <w:rsid w:val="00C15FF5"/>
    <w:rsid w:val="00C17D90"/>
    <w:rsid w:val="00C33674"/>
    <w:rsid w:val="00C410ED"/>
    <w:rsid w:val="00C56992"/>
    <w:rsid w:val="00C634CF"/>
    <w:rsid w:val="00C6482F"/>
    <w:rsid w:val="00C64D65"/>
    <w:rsid w:val="00C6772F"/>
    <w:rsid w:val="00C867A8"/>
    <w:rsid w:val="00CC5096"/>
    <w:rsid w:val="00CD1D70"/>
    <w:rsid w:val="00CF06AB"/>
    <w:rsid w:val="00CF67CD"/>
    <w:rsid w:val="00D004AB"/>
    <w:rsid w:val="00D06131"/>
    <w:rsid w:val="00D074C8"/>
    <w:rsid w:val="00D1254D"/>
    <w:rsid w:val="00D1312C"/>
    <w:rsid w:val="00D16CBD"/>
    <w:rsid w:val="00D30025"/>
    <w:rsid w:val="00D33DEB"/>
    <w:rsid w:val="00D409D2"/>
    <w:rsid w:val="00D42112"/>
    <w:rsid w:val="00D452C4"/>
    <w:rsid w:val="00D86071"/>
    <w:rsid w:val="00D97C7D"/>
    <w:rsid w:val="00DA6331"/>
    <w:rsid w:val="00DA68F3"/>
    <w:rsid w:val="00DB26CD"/>
    <w:rsid w:val="00DB5FB7"/>
    <w:rsid w:val="00DC1437"/>
    <w:rsid w:val="00DC3786"/>
    <w:rsid w:val="00DC678F"/>
    <w:rsid w:val="00DC6F46"/>
    <w:rsid w:val="00DE57A6"/>
    <w:rsid w:val="00E00ED6"/>
    <w:rsid w:val="00E00F92"/>
    <w:rsid w:val="00E12D09"/>
    <w:rsid w:val="00E13F75"/>
    <w:rsid w:val="00E20AFA"/>
    <w:rsid w:val="00E22637"/>
    <w:rsid w:val="00E35224"/>
    <w:rsid w:val="00E42271"/>
    <w:rsid w:val="00E46EA6"/>
    <w:rsid w:val="00E547EC"/>
    <w:rsid w:val="00E642E2"/>
    <w:rsid w:val="00E663BE"/>
    <w:rsid w:val="00E66DBA"/>
    <w:rsid w:val="00E731C1"/>
    <w:rsid w:val="00E86A27"/>
    <w:rsid w:val="00E908AC"/>
    <w:rsid w:val="00E95A1B"/>
    <w:rsid w:val="00E9674A"/>
    <w:rsid w:val="00EB15E0"/>
    <w:rsid w:val="00ED1719"/>
    <w:rsid w:val="00ED2B1C"/>
    <w:rsid w:val="00ED2BB8"/>
    <w:rsid w:val="00ED5F55"/>
    <w:rsid w:val="00ED766C"/>
    <w:rsid w:val="00EE2694"/>
    <w:rsid w:val="00EF6273"/>
    <w:rsid w:val="00F0298F"/>
    <w:rsid w:val="00F12AEB"/>
    <w:rsid w:val="00F13786"/>
    <w:rsid w:val="00F16613"/>
    <w:rsid w:val="00F2195A"/>
    <w:rsid w:val="00F26651"/>
    <w:rsid w:val="00F34FC4"/>
    <w:rsid w:val="00F36E09"/>
    <w:rsid w:val="00F55F40"/>
    <w:rsid w:val="00F62221"/>
    <w:rsid w:val="00F731E3"/>
    <w:rsid w:val="00F82E7F"/>
    <w:rsid w:val="00F8318A"/>
    <w:rsid w:val="00F87AF0"/>
    <w:rsid w:val="00FC4A1B"/>
    <w:rsid w:val="00FD30A5"/>
    <w:rsid w:val="00FD501A"/>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543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2026-06-23T14:17:00Z</dcterms:created>
  <dcterms:modified xsi:type="dcterms:W3CDTF">2026-06-23T14:17:00Z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